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VENDOR ONBOARDING CHECKLIST</w:t>
      </w:r>
    </w:p>
    <w:p>
      <w:r>
        <w:t>1. Legal entity verification and tax ID validation</w:t>
      </w:r>
    </w:p>
    <w:p>
      <w:r>
        <w:t>2. Bank account verification (anti-fraud check)</w:t>
      </w:r>
    </w:p>
    <w:p>
      <w:r>
        <w:t>3. Sanctions and compliance screening</w:t>
      </w:r>
    </w:p>
    <w:p>
      <w:r>
        <w:t>4. Master data entry with vendor category and payment terms</w:t>
      </w:r>
    </w:p>
    <w:p>
      <w:r>
        <w:t>Bank-detail mismatch requires finance controller review before payment.</w:t>
      </w:r>
    </w:p>
  </w:body>
</w:document>
</file>