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Ryan Andreas</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Sistem Informasi</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20180801099</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3173011509000007</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081385287898</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ryangwansin@gmail.com</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Ryan Andreas</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Lorida Sinaga</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