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6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Yanti, Owner Restoran Hosit-Hosit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Hosit Bangka Kuliner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Ruko Ketapang IX Kec. Taman Sari Jakarta Barat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20180801010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Willi Kornelius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081385287898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Aplikasi E-Menu Restoran Kuliner Bangka Hosit-Hosit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