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Risk Register</w:t>
      </w:r>
    </w:p>
    <w:p>
      <w:pPr>
        <w:jc w:val="center"/>
      </w:pPr>
      <w:r>
        <w:rPr>
          <w:i/>
        </w:rPr>
        <w:t>TOGAF ADM Phase B: Business Architecture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Risk Register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identifies, assesses, and provides mitigation strategies for risks to the V.E.R.A. project. Risks are categorized by type (Technical, Knowledge, Project, External) and scored by likelihood × impact.</w:t>
      </w:r>
    </w:p>
    <w:p>
      <w:r>
        <w:br w:type="page"/>
      </w:r>
    </w:p>
    <w:p>
      <w:pPr>
        <w:pStyle w:val="Heading1"/>
      </w:pPr>
      <w:r>
        <w:t>1. Risk Assessment Framework</w:t>
      </w:r>
    </w:p>
    <w:p>
      <w:pPr>
        <w:pStyle w:val="Heading2"/>
      </w:pPr>
      <w:r>
        <w:t>1.1 Likelihood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 10% probability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Unlikely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10-25% probability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Possible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25-50% probability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Likely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50-75% probability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Almost Certain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&gt; 75% probability</w:t>
            </w:r>
          </w:p>
        </w:tc>
      </w:tr>
    </w:tbl>
    <w:p/>
    <w:p>
      <w:pPr>
        <w:pStyle w:val="Heading2"/>
      </w:pPr>
      <w:r>
        <w:t>1.2 Impact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Negligible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Minimal effect on project objectives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Some delay or minor rework 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Significant delay or scope reduction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Threatens key project objectives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Severe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 failure or fundamental rethink</w:t>
            </w:r>
          </w:p>
        </w:tc>
      </w:tr>
    </w:tbl>
    <w:p/>
    <w:p>
      <w:pPr>
        <w:pStyle w:val="Heading2"/>
      </w:pPr>
      <w:r>
        <w:t>1.3 Risk Score Matrix</w:t>
      </w:r>
    </w:p>
    <w:p>
      <w:r>
        <w:t>Risk Score = Likelihood × Impact</w:t>
      </w:r>
    </w:p>
    <w:p>
      <w:r>
        <w:t>• HIGH: Score 12-25 (Red) — Immediate action required</w:t>
      </w:r>
    </w:p>
    <w:p>
      <w:r>
        <w:t>• MEDIUM: Score 6-11 (Amber) — Active monitoring and mitigation</w:t>
      </w:r>
    </w:p>
    <w:p>
      <w:r>
        <w:t>• LOW: Score 1-5 (Green) — Standard tracking</w:t>
      </w:r>
    </w:p>
    <w:p>
      <w:r>
        <w:br w:type="page"/>
      </w:r>
    </w:p>
    <w:p>
      <w:pPr>
        <w:pStyle w:val="Heading1"/>
      </w:pPr>
      <w:r>
        <w:t>2. Technical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L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RSK-T01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NTP Rule Complexity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R1-R9 implementation more complex than anticipated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Incremental development; extensive unit testing; domain expert review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RSK-T02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Parser Accuracy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NL to NTP conversion unreliable for complex sentences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Start with structured input; iterative improvement; fallback to refusal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RSK-T03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Performance at Scale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E! Corpus queries degrade at 10M+ entities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Database indexing; caching; query optimization; load testing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RSK-T04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LLM Response Variability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Claude outputs inconsistent, breaking verification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Structured prompts; temperature control; validation layer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RSK-T05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D-Service Edge Cases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Identity resolution fails on paradoxical cases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Poincaré Paradox test suite; edge case documentation</w:t>
            </w:r>
          </w:p>
        </w:tc>
      </w:tr>
    </w:tbl>
    <w:p>
      <w:r>
        <w:br w:type="page"/>
      </w:r>
    </w:p>
    <w:p>
      <w:pPr>
        <w:pStyle w:val="Heading1"/>
      </w:pPr>
      <w:r>
        <w:t>3. Knowledge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L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RSK-K01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Missing Source Material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Wessel 1989/1996 unavailable or inaccessible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Proceed with validated 1992 content; defer unvalidated features; academic library search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RSK-K02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Source Interpretation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Ambiguity in translating German logic to code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Document interpretation decisions; domain expert approval; peer review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RSK-K03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Domain Expert Availability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Andreas unavailable for extended periods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Document all decisions thoroughly; asynchronous communication; maintain decision log</w:t>
            </w:r>
          </w:p>
        </w:tc>
      </w:tr>
    </w:tbl>
    <w:p>
      <w:r>
        <w:br w:type="page"/>
      </w:r>
    </w:p>
    <w:p>
      <w:pPr>
        <w:pStyle w:val="Heading1"/>
      </w:pPr>
      <w:r>
        <w:t>4. Project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L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RSK-P01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Scope Creep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Feature additions delay MVP beyond 12 weeks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Strict MVP definition; backlog management; change control process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RSK-P02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Resource Constraints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Insufficient development capacity for timeline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Vibe coding approach; prioritization; scope adjustment if needed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RSK-P03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Integration Complexity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Components harder to integrate than expected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Interface-first design; integration tests early; modular architecture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RSK-P04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Documentation Debt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Code outpaces documentation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Document-as-you-go policy; documentation reviews</w:t>
            </w:r>
          </w:p>
        </w:tc>
      </w:tr>
    </w:tbl>
    <w:p>
      <w:r>
        <w:br w:type="page"/>
      </w:r>
    </w:p>
    <w:p>
      <w:pPr>
        <w:pStyle w:val="Heading1"/>
      </w:pPr>
      <w:r>
        <w:t>5. External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L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176"/>
            <w:shd w:fill="1F4E79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RSK-E01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Claude API Changes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Anthropic changes API, pricing, or terms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LLM-agnostic abstraction layer; monitor announcements; budget buffer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RSK-E02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Wikidata Schema Change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Source data structure changes break ETL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Abstraction layer; monitoring; versioned schemas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RSK-E03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Competitive Solution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Major vendor releases similar product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NTP differentiation; open source community; speed to market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RSK-E04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AI Regulation Impact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New regulations affect deployment model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Audit trail supports compliance; transparent reasoning; monitor regulatory landscape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RSK-E05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Open Source Adoption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Low community engagement reduces momentum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LinkedIn articles; clear documentation; GitHub presence; conference talks</w:t>
            </w:r>
          </w:p>
        </w:tc>
      </w:tr>
    </w:tbl>
    <w:p>
      <w:r>
        <w:br w:type="page"/>
      </w:r>
    </w:p>
    <w:p>
      <w:pPr>
        <w:pStyle w:val="Heading1"/>
      </w:pPr>
      <w:r>
        <w:t>6. Risk Summary</w:t>
      </w:r>
    </w:p>
    <w:p>
      <w:pPr>
        <w:pStyle w:val="Heading2"/>
      </w:pPr>
      <w:r>
        <w:t>6.1 High Priority Risks (Score 12+)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Immediate Action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RSK-T01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NTP Rule Complexity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Domain expert review each sprint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RSK-K01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Missing Source Material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Search academic libraries; proceed with validated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RSK-P01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Scope Creep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Strict change control</w:t>
            </w:r>
          </w:p>
        </w:tc>
      </w:tr>
    </w:tbl>
    <w:p/>
    <w:p>
      <w:pPr>
        <w:pStyle w:val="Heading2"/>
      </w:pPr>
      <w:r>
        <w:t>6.2 Risk Review Schedule</w:t>
      </w:r>
    </w:p>
    <w:p>
      <w:r>
        <w:t>• HIGH risks: Weekly review at sprint planning</w:t>
      </w:r>
    </w:p>
    <w:p>
      <w:r>
        <w:t>• MEDIUM risks: Bi-weekly review</w:t>
      </w:r>
    </w:p>
    <w:p>
      <w:r>
        <w:t>• LOW risks: Monthly review</w:t>
      </w:r>
    </w:p>
    <w:p>
      <w:r>
        <w:t>• All risks: Full reassessment at phase transitions</w:t>
      </w:r>
    </w:p>
    <w:p/>
    <w:p>
      <w:pPr>
        <w:pStyle w:val="Heading1"/>
      </w:pPr>
      <w:r>
        <w:t>6.3 Risk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Risk Category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Risks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Technical Risks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Development Lead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RSK-T01 through RSK-T05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Knowledge Risks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Domain Expert (Andreas)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RSK-K01 through RSK-K03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Project Risks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RSK-P01 through RSK-P04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External Risks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Enterprise Architect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RSK-E01 through RSK-E05</w:t>
            </w:r>
          </w:p>
        </w:tc>
      </w:tr>
    </w:tbl>
    <w:p>
      <w:pPr>
        <w:jc w:val="center"/>
      </w:pPr>
      <w:r>
        <w:t>— End of Document —</w:t>
      </w:r>
    </w:p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