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F4E78"/>
          <w:sz w:val="48"/>
          <w:szCs w:val="48"/>
        </w:rPr>
        <w:t xml:space="preserve">NTP Logic Engine</w:t>
      </w:r>
    </w:p>
    <w:p>
      <w:pPr>
        <w:spacing w:before="240"/>
        <w:jc w:val="center"/>
      </w:pPr>
      <w:r>
        <w:rPr>
          <w:color w:val="2E75B5"/>
          <w:sz w:val="36"/>
          <w:szCs w:val="36"/>
        </w:rPr>
        <w:t xml:space="preserve">Computational Specification</w:t>
      </w:r>
    </w:p>
    <w:p>
      <w:pPr>
        <w:spacing w:before="480"/>
        <w:jc w:val="center"/>
      </w:pPr>
      <w:r>
        <w:rPr>
          <w:sz w:val="28"/>
          <w:szCs w:val="28"/>
        </w:rPr>
        <w:t xml:space="preserve">Version 1.0</w:t>
      </w:r>
    </w:p>
    <w:p>
      <w:pPr>
        <w:spacing w:before="120"/>
        <w:jc w:val="center"/>
      </w:pPr>
      <w:r>
        <w:rPr>
          <w:sz w:val="24"/>
          <w:szCs w:val="24"/>
        </w:rPr>
        <w:t xml:space="preserve">Phase B: Business Architecture</w:t>
      </w:r>
    </w:p>
    <w:p>
      <w:pPr>
        <w:spacing w:before="1440"/>
        <w:jc w:val="center"/>
      </w:pPr>
      <w:r>
        <w:rPr>
          <w:i/>
          <w:iCs/>
          <w:sz w:val="24"/>
          <w:szCs w:val="24"/>
        </w:rPr>
        <w:t xml:space="preserve">January 2026</w:t>
      </w:r>
    </w:p>
    <w:p>
      <w:pPr>
        <w:spacing w:before="240"/>
        <w:jc w:val="center"/>
      </w:pPr>
      <w:r>
        <w:rPr>
          <w:i/>
          <w:iCs/>
          <w:sz w:val="20"/>
          <w:szCs w:val="20"/>
        </w:rPr>
        <w:t xml:space="preserve">Based on Validated Content from Wessel (1992)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document transforms the validated Non-Traditional Predication Theory (NTP) rules from Wessel (1992) into implementable computational specifications. It provides algorithms, data structures, and test cases for building the NTP Logic Engine AI System.</w:t>
      </w:r>
    </w:p>
    <w:p>
      <w:pPr>
        <w:pStyle w:val="Heading2"/>
      </w:pPr>
      <w:r>
        <w:t xml:space="preserve">Purpose</w:t>
      </w:r>
    </w:p>
    <w:p>
      <w:pPr>
        <w:spacing w:after="180"/>
      </w:pPr>
      <w:r>
        <w:t xml:space="preserve">Enable rapid prototype development by providing clear, unambiguous specifications that can be directly implemented in code. This document bridges the gap between formal logic theory and working software.</w:t>
      </w:r>
    </w:p>
    <w:p>
      <w:pPr>
        <w:pStyle w:val="Heading2"/>
      </w:pPr>
      <w:r>
        <w:t xml:space="preserve">Key Deliverables</w:t>
      </w:r>
    </w:p>
    <w:p>
      <w:pPr>
        <w:pStyle w:val="ListParagraph"/>
        <w:numPr>
          <w:ilvl w:val="0"/>
          <w:numId w:val="2"/>
        </w:numPr>
      </w:pPr>
      <w:r>
        <w:t xml:space="preserve">Algorithmic representation of Krampitz Rules (R1-R9)</w:t>
      </w:r>
    </w:p>
    <w:p>
      <w:pPr>
        <w:pStyle w:val="ListParagraph"/>
        <w:numPr>
          <w:ilvl w:val="0"/>
          <w:numId w:val="2"/>
        </w:numPr>
      </w:pPr>
      <w:r>
        <w:t xml:space="preserve">Computational procedures for four indiscernibility relations</w:t>
      </w:r>
    </w:p>
    <w:p>
      <w:pPr>
        <w:pStyle w:val="ListParagraph"/>
        <w:numPr>
          <w:ilvl w:val="0"/>
          <w:numId w:val="2"/>
        </w:numPr>
      </w:pPr>
      <w:r>
        <w:t xml:space="preserve">Formula representation schemas</w:t>
      </w:r>
    </w:p>
    <w:p>
      <w:pPr>
        <w:pStyle w:val="ListParagraph"/>
        <w:numPr>
          <w:ilvl w:val="0"/>
          <w:numId w:val="2"/>
        </w:numPr>
      </w:pPr>
      <w:r>
        <w:t xml:space="preserve">Test case suites with expected outputs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Gap analysis for pending source materials</w:t>
      </w:r>
    </w:p>
    <w:p>
      <w:r>
        <w:br w:type="page"/>
      </w:r>
    </w:p>
    <w:p>
      <w:pPr>
        <w:pStyle w:val="Heading1"/>
      </w:pPr>
      <w:r>
        <w:t xml:space="preserve">1. Existential Loading: Krampitz Rules</w:t>
      </w:r>
    </w:p>
    <w:p>
      <w:pPr>
        <w:spacing w:after="180"/>
      </w:pPr>
      <w:r>
        <w:rPr>
          <w:b/>
          <w:bCs/>
        </w:rPr>
        <w:t xml:space="preserve">Source: </w:t>
      </w:r>
      <w:r>
        <w:t xml:space="preserve">Wessel (1992), Section 3</w:t>
      </w:r>
    </w:p>
    <w:p>
      <w:pPr>
        <w:pStyle w:val="Heading2"/>
      </w:pPr>
      <w:r>
        <w:t xml:space="preserve">1.1 Core Concept</w:t>
      </w:r>
    </w:p>
    <w:p>
      <w:pPr>
        <w:spacing w:after="180"/>
      </w:pPr>
      <w:r>
        <w:t xml:space="preserve">Every NTP formula has exactly one characteristic: </w:t>
      </w:r>
      <w:r>
        <w:rPr>
          <w:b/>
          <w:bCs/>
        </w:rPr>
        <w:t xml:space="preserve">e (existentially loaded)</w:t>
      </w:r>
      <w:r>
        <w:t xml:space="preserve"> or </w:t>
      </w:r>
      <w:r>
        <w:rPr>
          <w:b/>
          <w:bCs/>
        </w:rPr>
        <w:t xml:space="preserve">n (not existentially loaded)</w:t>
      </w:r>
      <w:r>
        <w:t xml:space="preserve">. This determines whether the formula's truth requires the existence of its subjects.</w:t>
      </w:r>
    </w:p>
    <w:p>
      <w:pPr>
        <w:pStyle w:val="Heading2"/>
      </w:pPr>
      <w:r>
        <w:t xml:space="preserve">1.2 Data Structure</w:t>
      </w:r>
    </w:p>
    <w:p>
      <w:pPr>
        <w:spacing w:after="120"/>
      </w:pPr>
      <w:r>
        <w:t xml:space="preserve">Each formula object must carry its characteristic: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type Characteristic = 'e' | 'n';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interface NTPFormula {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type: FormulaType;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characteristic: Characteristic;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</w:rPr>
        <w:t xml:space="preserve">  // ... other properties</w:t>
      </w:r>
    </w:p>
    <w:p>
      <w:pPr>
        <w:pStyle w:val="Heading2"/>
      </w:pPr>
      <w:r>
        <w:t xml:space="preserve">1.3 Algorithmic Implementation</w:t>
      </w:r>
    </w:p>
    <w:p>
      <w:pPr>
        <w:pStyle w:val="Heading3"/>
      </w:pPr>
      <w:r>
        <w:t xml:space="preserve">Rule R1: Elementary Predicates</w:t>
      </w:r>
    </w:p>
    <w:p>
      <w:pPr>
        <w:spacing w:after="120"/>
      </w:pPr>
      <w:r>
        <w:rPr>
          <w:b/>
          <w:bCs/>
        </w:rPr>
        <w:t xml:space="preserve">Definition: </w:t>
      </w:r>
      <w:r>
        <w:t xml:space="preserve">All elementary predicative statements are existentially loaded (e).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function computeR1(formula) {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if (formula.type === 'PREDICATE') {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  return 'e';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}</w:t>
      </w:r>
    </w:p>
    <w:p>
      <w:pPr>
        <w:pStyle w:val="CodeBlock"/>
        <w:spacing w:after="180"/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after="240"/>
      </w:pPr>
      <w:r>
        <w:rPr>
          <w:i/>
          <w:iCs/>
        </w:rPr>
        <w:t xml:space="preserve">Examples: </w:t>
      </w:r>
      <w:r>
        <w:t xml:space="preserve">P(a), Swan(x), WhiteFeathers(y) all have characteristic e</w:t>
      </w:r>
    </w:p>
    <w:p>
      <w:pPr>
        <w:pStyle w:val="Heading3"/>
      </w:pPr>
      <w:r>
        <w:t xml:space="preserve">Rules R2-R3: Outer Negation</w:t>
      </w:r>
    </w:p>
    <w:p>
      <w:pPr>
        <w:spacing w:after="120"/>
      </w:pPr>
      <w:r>
        <w:rPr>
          <w:b/>
          <w:bCs/>
        </w:rPr>
        <w:t xml:space="preserve">R2: </w:t>
      </w:r>
      <w:r>
        <w:t xml:space="preserve">If A is e, then ~A is n</w:t>
      </w:r>
    </w:p>
    <w:p>
      <w:pPr>
        <w:spacing w:after="120"/>
      </w:pPr>
      <w:r>
        <w:rPr>
          <w:b/>
          <w:bCs/>
        </w:rPr>
        <w:t xml:space="preserve">R3: </w:t>
      </w:r>
      <w:r>
        <w:t xml:space="preserve">If A is n, then ~A is e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function computeOuterNegation(subformula) {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return subformula.characteristic === 'e' ? 'n' : 'e';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Heading3"/>
      </w:pPr>
      <w:r>
        <w:t xml:space="preserve">Rule R4: Disjunction</w:t>
      </w:r>
    </w:p>
    <w:p>
      <w:pPr>
        <w:spacing w:after="120"/>
      </w:pPr>
      <w:r>
        <w:rPr>
          <w:b/>
          <w:bCs/>
        </w:rPr>
        <w:t xml:space="preserve">Definition: </w:t>
      </w:r>
      <w:r>
        <w:t xml:space="preserve">A ∨ B is e ⟺ (A is e AND B is e)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function computeR4(formulaA, formulaB) {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const bothE = formulaA.characteristic === 'e' &amp;&amp; 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             formulaB.characteristic === 'e';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return bothE ? 'e' : 'n';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Heading3"/>
      </w:pPr>
      <w:r>
        <w:t xml:space="preserve">Rule R5: Conjunction</w:t>
      </w:r>
    </w:p>
    <w:p>
      <w:pPr>
        <w:spacing w:after="120"/>
      </w:pPr>
      <w:r>
        <w:rPr>
          <w:b/>
          <w:bCs/>
        </w:rPr>
        <w:t xml:space="preserve">Definition: </w:t>
      </w:r>
      <w:r>
        <w:t xml:space="preserve">A ∧ B is e ⟺ (A is e OR B is e)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function computeR5(formulaA, formulaB) {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const eitherE = formulaA.characteristic === 'e' || 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                formulaB.characteristic === 'e';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return eitherE ? 'e' : 'n';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2. Inner and Outer Negation</w:t>
      </w:r>
    </w:p>
    <w:p>
      <w:pPr>
        <w:pStyle w:val="Heading2"/>
      </w:pPr>
      <w:r>
        <w:t xml:space="preserve">2.1 Conceptual Distinction</w:t>
      </w:r>
    </w:p>
    <w:p>
      <w:pPr>
        <w:spacing w:after="180"/>
      </w:pPr>
      <w:r>
        <w:rPr>
          <w:b/>
          <w:bCs/>
        </w:rPr>
        <w:t xml:space="preserve">Outer negation (~): </w:t>
      </w:r>
      <w:r>
        <w:t xml:space="preserve">Classical propositional negation</w:t>
      </w:r>
    </w:p>
    <w:p>
      <w:pPr>
        <w:spacing w:after="180"/>
      </w:pPr>
      <w:r>
        <w:rPr>
          <w:b/>
          <w:bCs/>
        </w:rPr>
        <w:t xml:space="preserve">Inner negation (¬): </w:t>
      </w:r>
      <w:r>
        <w:t xml:space="preserve">Contrary negation allowing both A and ¬A to be false</w:t>
      </w:r>
    </w:p>
    <w:p>
      <w:pPr>
        <w:pStyle w:val="Heading2"/>
      </w:pPr>
      <w:r>
        <w:t xml:space="preserve">2.2 Truth Value Computation</w:t>
      </w:r>
    </w:p>
    <w:p>
      <w:pPr>
        <w:spacing w:after="120"/>
      </w:pPr>
      <w:r>
        <w:t xml:space="preserve">Inner negation rules:</w:t>
      </w:r>
    </w:p>
    <w:p>
      <w:pPr>
        <w:pStyle w:val="ListParagraph"/>
        <w:numPr>
          <w:ilvl w:val="0"/>
          <w:numId w:val="2"/>
        </w:numPr>
      </w:pPr>
      <w:r>
        <w:t xml:space="preserve">If A = v, then ¬A = f</w:t>
      </w:r>
    </w:p>
    <w:p>
      <w:pPr>
        <w:pStyle w:val="ListParagraph"/>
        <w:numPr>
          <w:ilvl w:val="0"/>
          <w:numId w:val="2"/>
        </w:numPr>
      </w:pPr>
      <w:r>
        <w:t xml:space="preserve">If ¬A = v, then A = f</w:t>
      </w:r>
    </w:p>
    <w:p>
      <w:pPr>
        <w:pStyle w:val="ListParagraph"/>
        <w:numPr>
          <w:ilvl w:val="0"/>
          <w:numId w:val="2"/>
        </w:numPr>
      </w:pPr>
      <w:r>
        <w:t xml:space="preserve">If A = f, then ¬A can be v or f (independent)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If ¬A = f, then A can be v or f (independent)</w:t>
      </w:r>
    </w:p>
    <w:p>
      <w:pPr>
        <w:pStyle w:val="Heading2"/>
      </w:pPr>
      <w:r>
        <w:t xml:space="preserve">2.3 The ?A Operator</w:t>
      </w:r>
    </w:p>
    <w:p>
      <w:pPr>
        <w:spacing w:after="120"/>
      </w:pPr>
      <w:r>
        <w:rPr>
          <w:b/>
          <w:bCs/>
        </w:rPr>
        <w:t xml:space="preserve">Notation: </w:t>
      </w:r>
      <w:r>
        <w:t xml:space="preserve">?A := ~A ∧ ~¬A</w:t>
      </w:r>
    </w:p>
    <w:p>
      <w:pPr>
        <w:spacing w:after="120"/>
      </w:pPr>
      <w:r>
        <w:rPr>
          <w:b/>
          <w:bCs/>
        </w:rPr>
        <w:t xml:space="preserve">Meaning: </w:t>
      </w:r>
      <w:r>
        <w:t xml:space="preserve">Neither A nor ¬A is true</w:t>
      </w:r>
    </w:p>
    <w:p>
      <w:pPr>
        <w:spacing w:after="180"/>
      </w:pPr>
      <w:r>
        <w:rPr>
          <w:b/>
          <w:bCs/>
        </w:rPr>
        <w:t xml:space="preserve">Usage: </w:t>
      </w:r>
      <w:r>
        <w:t xml:space="preserve">When subjects don't exist: ~E(a) ⊢ ?P(a)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type TruthValue = 'v' | 'f' | 'unknown';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function innerNegation(value: TruthValue): TruthValue {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if (value === 'v') return 'f';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if (value === 'f') return 'unknown';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return 'unknown';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3. Four Indiscernibility Relations</w:t>
      </w:r>
    </w:p>
    <w:p>
      <w:pPr>
        <w:spacing w:after="180"/>
      </w:pPr>
      <w:r>
        <w:rPr>
          <w:b/>
          <w:bCs/>
        </w:rPr>
        <w:t xml:space="preserve">Source: </w:t>
      </w:r>
      <w:r>
        <w:t xml:space="preserve">Wessel (1992), Section 7</w:t>
      </w:r>
    </w:p>
    <w:p>
      <w:pPr>
        <w:pStyle w:val="Heading2"/>
      </w:pPr>
      <w:r>
        <w:t xml:space="preserve">3.1 Overview</w:t>
      </w:r>
    </w:p>
    <w:p>
      <w:pPr>
        <w:spacing w:after="180"/>
      </w:pPr>
      <w:r>
        <w:t xml:space="preserve">NTP defines four distinct relations based on distinguishability, each with different existential requirements and logical properties.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Relation</w:t>
            </w:r>
          </w:p>
        </w:tc>
        <w:tc>
          <w:tcPr>
            <w:tcW w:type="dxa" w:w="2340"/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Symbol</w:t>
            </w:r>
          </w:p>
        </w:tc>
        <w:tc>
          <w:tcPr>
            <w:tcW w:type="dxa" w:w="2340"/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Existence Req.</w:t>
            </w:r>
          </w:p>
        </w:tc>
        <w:tc>
          <w:tcPr>
            <w:tcW w:type="dxa" w:w="2340"/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Properties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Weak Distinguishability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x#y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 least one exists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Irr, Sym, !Trans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Weak Indiscernibility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~(x#y)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required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Refl, Sym, Trans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Distinguishability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x≠y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Both must exist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Irr, Sym, !Trans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Indiscernibility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~(x≠y)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required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Refl, Sym, !Trans</w:t>
            </w:r>
          </w:p>
        </w:tc>
      </w:tr>
    </w:tbl>
    <w:p>
      <w:pPr>
        <w:spacing w:before="240" w:after="180"/>
      </w:pPr>
      <w:r>
        <w:rPr>
          <w:i/>
          <w:iCs/>
        </w:rPr>
        <w:t xml:space="preserve">Legend: </w:t>
      </w:r>
      <w:r>
        <w:t xml:space="preserve">Irr = Irreflexive, Sym = Symmetric, Trans = Transitive, Refl = Reflexive, !Trans = Not Transitive</w:t>
      </w:r>
    </w:p>
    <w:p>
      <w:pPr>
        <w:pStyle w:val="Heading2"/>
      </w:pPr>
      <w:r>
        <w:t xml:space="preserve">3.2 D1: Weak Distinguishability (x#y)</w:t>
      </w:r>
    </w:p>
    <w:p>
      <w:pPr>
        <w:spacing w:after="120"/>
      </w:pPr>
      <w:r>
        <w:rPr>
          <w:b/>
          <w:bCs/>
        </w:rPr>
        <w:t xml:space="preserve">Definition: </w:t>
      </w:r>
      <w:r>
        <w:rPr>
          <w:rFonts w:ascii="Courier New" w:cs="Courier New" w:eastAsia="Courier New" w:hAnsi="Courier New"/>
        </w:rPr>
        <w:t xml:space="preserve">x#y =Def ∃P(P(x) ∧ ~P(y) ∨ ~P(x) ∧ P(y))</w:t>
      </w:r>
    </w:p>
    <w:p>
      <w:pPr>
        <w:spacing w:after="180"/>
      </w:pPr>
      <w:r>
        <w:rPr>
          <w:b/>
          <w:bCs/>
        </w:rPr>
        <w:t xml:space="preserve">Computational meaning: </w:t>
      </w:r>
      <w:r>
        <w:t xml:space="preserve">There exists at least one property that holds for x but not for y (using outer negation ~).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function weaklyDistinguishable(x, y, corpus) {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// At least one must exist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if (!exists(x, corpus) &amp;&amp; !exists(y, corpus)) {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  return false; // Cannot be distinguished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}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// Check for distinguishing property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for (const property of getAllProperties()) {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  const px = holds(property, x, corpus);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  const py = holds(property, y, corpus);</w:t>
      </w:r>
    </w:p>
    <w:p>
      <w:pPr>
        <w:pStyle w:val="CodeBlock"/>
        <w:spacing w:after="120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  // px ∧ ~py OR ~px ∧ py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  if ((px &amp;&amp; !py) || (!px &amp;&amp; py)) {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    return true;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}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  return false;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Identity and Self-Identity</w:t>
      </w:r>
    </w:p>
    <w:p>
      <w:pPr>
        <w:pStyle w:val="Heading2"/>
      </w:pPr>
      <w:r>
        <w:t xml:space="preserve">4.1 Core Principle</w:t>
      </w:r>
    </w:p>
    <w:p>
      <w:pPr>
        <w:spacing w:after="120"/>
      </w:pPr>
      <w:r>
        <w:rPr>
          <w:b/>
          <w:bCs/>
        </w:rPr>
        <w:t xml:space="preserve">Key insight: </w:t>
      </w:r>
      <w:r>
        <w:t xml:space="preserve">Identity is NOT logically true. Even x = x is existentially loaded.</w:t>
      </w:r>
    </w:p>
    <w:p>
      <w:pPr>
        <w:spacing w:after="180"/>
      </w:pPr>
      <w:r>
        <w:rPr>
          <w:b/>
          <w:bCs/>
        </w:rPr>
        <w:t xml:space="preserve">Theorem T22: </w:t>
      </w:r>
      <w:r>
        <w:rPr>
          <w:rFonts w:ascii="Courier New" w:cs="Courier New" w:eastAsia="Courier New" w:hAnsi="Courier New"/>
        </w:rPr>
        <w:t xml:space="preserve">P(x) ⊃ x = x</w:t>
      </w:r>
      <w:r>
        <w:t xml:space="preserve"> — Existence implies self-identity</w:t>
      </w:r>
    </w:p>
    <w:p>
      <w:pPr>
        <w:pStyle w:val="Heading2"/>
      </w:pPr>
      <w:r>
        <w:t xml:space="preserve">4.2 Principle of Indiscernibility of Identicals (A6)</w:t>
      </w:r>
    </w:p>
    <w:p>
      <w:pPr>
        <w:spacing w:after="180"/>
      </w:pPr>
      <w:r>
        <w:rPr>
          <w:b/>
          <w:bCs/>
        </w:rPr>
        <w:t xml:space="preserve">A6: </w:t>
      </w:r>
      <w:r>
        <w:rPr>
          <w:rFonts w:ascii="Courier New" w:cs="Courier New" w:eastAsia="Courier New" w:hAnsi="Courier New"/>
        </w:rPr>
        <w:t xml:space="preserve">∀x∀y(x = y ⊃ ∀P((P(x) ≡ P(y)) ∧ (¬P(x) ≡ ¬P(y)) ∧ (?P(x) ≡ ?P(y))))</w:t>
      </w:r>
    </w:p>
    <w:p>
      <w:pPr>
        <w:spacing w:after="120"/>
      </w:pPr>
      <w:r>
        <w:rPr>
          <w:b/>
          <w:bCs/>
        </w:rPr>
        <w:t xml:space="preserve">Computational meaning: </w:t>
      </w:r>
      <w:r>
        <w:t xml:space="preserve">If x and y are identical, they share all properties, all inner negations of properties, and all neither-nor states.</w:t>
      </w:r>
    </w:p>
    <w:p>
      <w:pPr>
        <w:pStyle w:val="Heading2"/>
      </w:pPr>
      <w:r>
        <w:t xml:space="preserve">4.3 What Cannot Be Proved</w:t>
      </w:r>
    </w:p>
    <w:p>
      <w:pPr>
        <w:spacing w:after="120"/>
      </w:pPr>
      <w:r>
        <w:t xml:space="preserve">The following are </w:t>
      </w:r>
      <w:r>
        <w:rPr>
          <w:b/>
          <w:bCs/>
          <w:u w:val="single"/>
        </w:rPr>
        <w:t xml:space="preserve">not provable</w:t>
      </w:r>
      <w:r>
        <w:t xml:space="preserve"> in NTP without additional axioms: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x = x</w:t>
      </w:r>
      <w:r>
        <w:t xml:space="preserve"> (self-identity requires existence)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ourier New" w:cs="Courier New" w:eastAsia="Courier New" w:hAnsi="Courier New"/>
        </w:rPr>
        <w:t xml:space="preserve">x = y ⊃ y = x</w:t>
      </w:r>
      <w:r>
        <w:t xml:space="preserve"> (symmetry of identity)</w:t>
      </w:r>
    </w:p>
    <w:p>
      <w:pPr>
        <w:pStyle w:val="Heading2"/>
      </w:pPr>
      <w:r>
        <w:t xml:space="preserve">4.4 Implementation Strategy</w:t>
      </w:r>
    </w:p>
    <w:p>
      <w:pPr>
        <w:spacing w:after="180"/>
      </w:pPr>
      <w:r>
        <w:t xml:space="preserve">Identity must be grounded in the E! corpus. The system checks:</w:t>
      </w:r>
    </w:p>
    <w:p>
      <w:pPr>
        <w:pStyle w:val="ListParagraph"/>
        <w:numPr>
          <w:ilvl w:val="0"/>
          <w:numId w:val="3"/>
        </w:numPr>
      </w:pPr>
      <w:r>
        <w:t xml:space="preserve">Do both terms exist? (If not, identity is undefined)</w:t>
      </w:r>
    </w:p>
    <w:p>
      <w:pPr>
        <w:pStyle w:val="ListParagraph"/>
        <w:numPr>
          <w:ilvl w:val="0"/>
          <w:numId w:val="3"/>
        </w:numPr>
      </w:pPr>
      <w:r>
        <w:t xml:space="preserve">Is there empirical evidence they refer to the same entity?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If uncertain, refuse to assert identity or non-identity</w:t>
      </w:r>
    </w:p>
    <w:p>
      <w:r>
        <w:br w:type="page"/>
      </w:r>
    </w:p>
    <w:p>
      <w:pPr>
        <w:pStyle w:val="Heading1"/>
      </w:pPr>
      <w:r>
        <w:t xml:space="preserve">5. Test Cases</w:t>
      </w:r>
    </w:p>
    <w:p>
      <w:pPr>
        <w:pStyle w:val="Heading2"/>
      </w:pPr>
      <w:r>
        <w:t xml:space="preserve">5.1 Existential Loading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Formula</w:t>
            </w:r>
          </w:p>
        </w:tc>
        <w:tc>
          <w:tcPr>
            <w:tcW w:type="dxa" w:w="3120"/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Characteristic</w:t>
            </w:r>
          </w:p>
        </w:tc>
        <w:tc>
          <w:tcPr>
            <w:tcW w:type="dxa" w:w="3120"/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Rule Applied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Swan(x)</w:t>
            </w:r>
          </w:p>
        </w:tc>
        <w:tc>
          <w:tcPr>
            <w:tcW w:type="dxa" w:w="3120"/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 (elementary predicate)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~Swan(x)</w:t>
            </w:r>
          </w:p>
        </w:tc>
        <w:tc>
          <w:tcPr>
            <w:tcW w:type="dxa" w:w="3120"/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 (e → n)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Swan(x) ∨ Bird(x)</w:t>
            </w:r>
          </w:p>
        </w:tc>
        <w:tc>
          <w:tcPr>
            <w:tcW w:type="dxa" w:w="3120"/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R4 (both e → e)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Swan(x) ∨ ~Bird(x)</w:t>
            </w:r>
          </w:p>
        </w:tc>
        <w:tc>
          <w:tcPr>
            <w:tcW w:type="dxa" w:w="3120"/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R4 (one n → n)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Swan(x) ∧ ~Bird(x)</w:t>
            </w:r>
          </w:p>
        </w:tc>
        <w:tc>
          <w:tcPr>
            <w:tcW w:type="dxa" w:w="3120"/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R5 (one e → e)</w:t>
            </w:r>
          </w:p>
        </w:tc>
      </w:tr>
    </w:tbl>
    <w:p>
      <w:pPr>
        <w:pStyle w:val="Heading2"/>
        <w:spacing w:before="360" w:after="180"/>
      </w:pPr>
      <w:r>
        <w:t xml:space="preserve">5.2 Poincaré's Paradox Resolution</w:t>
      </w:r>
    </w:p>
    <w:p>
      <w:pPr>
        <w:spacing w:after="120"/>
      </w:pPr>
      <w:r>
        <w:rPr>
          <w:b/>
          <w:bCs/>
        </w:rPr>
        <w:t xml:space="preserve">Classical formulation: </w:t>
      </w:r>
      <w:r>
        <w:t xml:space="preserve">A = B, B = C, A &lt; C (appears contradictory)</w:t>
      </w:r>
    </w:p>
    <w:p>
      <w:pPr>
        <w:spacing w:after="120"/>
      </w:pPr>
      <w:r>
        <w:rPr>
          <w:b/>
          <w:bCs/>
        </w:rPr>
        <w:t xml:space="preserve">NTP resolution: </w:t>
      </w:r>
      <w:r>
        <w:t xml:space="preserve">Replace identity with weak indiscernibility:</w:t>
      </w:r>
    </w:p>
    <w:p>
      <w:pPr>
        <w:spacing w:after="180"/>
      </w:pPr>
      <w:r>
        <w:rPr>
          <w:rFonts w:ascii="Courier New" w:cs="Courier New" w:eastAsia="Courier New" w:hAnsi="Courier New"/>
        </w:rPr>
        <w:t xml:space="preserve">~(A#B), ~(B#C), A≠C</w:t>
      </w:r>
      <w:r>
        <w:t xml:space="preserve"> — No contradiction</w:t>
      </w:r>
    </w:p>
    <w:p>
      <w:pPr>
        <w:spacing w:after="120"/>
      </w:pPr>
      <w:r>
        <w:rPr>
          <w:b/>
          <w:bCs/>
        </w:rPr>
        <w:t xml:space="preserve">Test case: </w:t>
      </w:r>
    </w:p>
    <w:p>
      <w:pPr>
        <w:pStyle w:val="ListParagraph"/>
        <w:numPr>
          <w:ilvl w:val="0"/>
          <w:numId w:val="2"/>
        </w:numPr>
      </w:pPr>
      <w:r>
        <w:t xml:space="preserve">Weight A (10g), B (11g), C (12g)</w:t>
      </w:r>
    </w:p>
    <w:p>
      <w:pPr>
        <w:pStyle w:val="ListParagraph"/>
        <w:numPr>
          <w:ilvl w:val="0"/>
          <w:numId w:val="2"/>
        </w:numPr>
      </w:pPr>
      <w:r>
        <w:t xml:space="preserve">Perceptually: A and B indiscernible, B and C indiscernible</w:t>
      </w:r>
    </w:p>
    <w:p>
      <w:pPr>
        <w:pStyle w:val="ListParagraph"/>
        <w:numPr>
          <w:ilvl w:val="0"/>
          <w:numId w:val="2"/>
        </w:numPr>
      </w:pPr>
      <w:r>
        <w:t xml:space="preserve">Actually: A and C are distinguishable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Expected: System accepts all three statements without contradiction</w:t>
      </w:r>
    </w:p>
    <w:p>
      <w:r>
        <w:br w:type="page"/>
      </w:r>
    </w:p>
    <w:p>
      <w:pPr>
        <w:pStyle w:val="Heading1"/>
      </w:pPr>
      <w:r>
        <w:t xml:space="preserve">6. Gap Analysis: Pending Source Materials</w:t>
      </w:r>
    </w:p>
    <w:p>
      <w:pPr>
        <w:pStyle w:val="Heading2"/>
      </w:pPr>
      <w:r>
        <w:t xml:space="preserve">6.1 Hexadecagon Structure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Conceptual diagram created, NOT validated from source</w:t>
      </w:r>
    </w:p>
    <w:p>
      <w:pPr>
        <w:spacing w:after="120"/>
      </w:pPr>
      <w:r>
        <w:rPr>
          <w:b/>
          <w:bCs/>
        </w:rPr>
        <w:t xml:space="preserve">Required for: </w:t>
      </w:r>
      <w:r>
        <w:t xml:space="preserve">Mapping the 16 binary logical connectives to consequence types</w:t>
      </w:r>
    </w:p>
    <w:p>
      <w:pPr>
        <w:spacing w:after="180"/>
      </w:pPr>
      <w:r>
        <w:rPr>
          <w:b/>
          <w:bCs/>
        </w:rPr>
        <w:t xml:space="preserve">Needs: </w:t>
      </w:r>
      <w:r>
        <w:t xml:space="preserve">Wessel (1989) Logik or Wessel (1996) for formal specification</w:t>
      </w:r>
    </w:p>
    <w:p>
      <w:pPr>
        <w:pStyle w:val="Heading2"/>
      </w:pPr>
      <w:r>
        <w:t xml:space="preserve">6.2 Strict vs. Lax Consequence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Conceptually understood, NOT formally defined from source</w:t>
      </w:r>
    </w:p>
    <w:p>
      <w:pPr>
        <w:spacing w:after="120"/>
      </w:pPr>
      <w:r>
        <w:rPr>
          <w:b/>
          <w:bCs/>
        </w:rPr>
        <w:t xml:space="preserve">Required for: </w:t>
      </w:r>
      <w:r>
        <w:t xml:space="preserve">Distinguishing monotonic (strict) from non-monotonic (lax) inferences</w:t>
      </w:r>
    </w:p>
    <w:p>
      <w:pPr>
        <w:spacing w:after="180"/>
      </w:pPr>
      <w:r>
        <w:rPr>
          <w:b/>
          <w:bCs/>
        </w:rPr>
        <w:t xml:space="preserve">Needs: </w:t>
      </w:r>
      <w:r>
        <w:t xml:space="preserve">Formal definitions, likely in Wessel 1989 or seminar notes</w:t>
      </w:r>
    </w:p>
    <w:p>
      <w:pPr>
        <w:pStyle w:val="Heading2"/>
      </w:pPr>
      <w:r>
        <w:t xml:space="preserve">6.3 Definite Descriptions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Mentioned as primitive (non-Russellian), NOT formally specified</w:t>
      </w:r>
    </w:p>
    <w:p>
      <w:pPr>
        <w:spacing w:after="120"/>
      </w:pPr>
      <w:r>
        <w:rPr>
          <w:b/>
          <w:bCs/>
        </w:rPr>
        <w:t xml:space="preserve">Required for: </w:t>
      </w:r>
      <w:r>
        <w:t xml:space="preserve">Handling "the unique X" without scope ambiguities</w:t>
      </w:r>
    </w:p>
    <w:p>
      <w:pPr>
        <w:spacing w:after="240"/>
      </w:pPr>
      <w:r>
        <w:rPr>
          <w:b/>
          <w:bCs/>
        </w:rPr>
        <w:t xml:space="preserve">Needs: </w:t>
      </w:r>
      <w:r>
        <w:t xml:space="preserve">Source material on NTP treatment of iota operator</w:t>
      </w:r>
    </w:p>
    <w:p>
      <w:r>
        <w:br w:type="page"/>
      </w:r>
    </w:p>
    <w:p>
      <w:pPr>
        <w:pStyle w:val="Heading1"/>
      </w:pPr>
      <w:r>
        <w:t xml:space="preserve">7. Implementation Roadmap</w:t>
      </w:r>
    </w:p>
    <w:p>
      <w:pPr>
        <w:pStyle w:val="Heading2"/>
      </w:pPr>
      <w:r>
        <w:t xml:space="preserve">7.1 MVP Scope (Validated Rules Only)</w:t>
      </w:r>
    </w:p>
    <w:p>
      <w:pPr>
        <w:spacing w:after="120"/>
      </w:pPr>
      <w:r>
        <w:t xml:space="preserve">Build a working prototype using ONLY the validated content:</w:t>
      </w:r>
    </w:p>
    <w:p>
      <w:pPr>
        <w:pStyle w:val="ListParagraph"/>
        <w:numPr>
          <w:ilvl w:val="0"/>
          <w:numId w:val="2"/>
        </w:numPr>
      </w:pPr>
      <w:r>
        <w:t xml:space="preserve">Krampitz Rules (R1-R9) for existential loading</w:t>
      </w:r>
    </w:p>
    <w:p>
      <w:pPr>
        <w:pStyle w:val="ListParagraph"/>
        <w:numPr>
          <w:ilvl w:val="0"/>
          <w:numId w:val="2"/>
        </w:numPr>
      </w:pPr>
      <w:r>
        <w:t xml:space="preserve">Four indiscernibility relations (D1-D4)</w:t>
      </w:r>
    </w:p>
    <w:p>
      <w:pPr>
        <w:pStyle w:val="ListParagraph"/>
        <w:numPr>
          <w:ilvl w:val="0"/>
          <w:numId w:val="2"/>
        </w:numPr>
      </w:pPr>
      <w:r>
        <w:t xml:space="preserve">Identity validation (A6, T22)</w:t>
      </w:r>
    </w:p>
    <w:p>
      <w:pPr>
        <w:pStyle w:val="ListParagraph"/>
        <w:numPr>
          <w:ilvl w:val="0"/>
          <w:numId w:val="2"/>
        </w:numPr>
      </w:pPr>
      <w:r>
        <w:t xml:space="preserve">Inner/outer negation mechanics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E! corpus basic structure (Wikipedia/Wikidata POC)</w:t>
      </w:r>
    </w:p>
    <w:p>
      <w:pPr>
        <w:pStyle w:val="Heading2"/>
      </w:pPr>
      <w:r>
        <w:t xml:space="preserve">7.2 Phase B Deliverables</w:t>
      </w:r>
    </w:p>
    <w:p>
      <w:pPr>
        <w:pStyle w:val="ListParagraph"/>
        <w:numPr>
          <w:ilvl w:val="0"/>
          <w:numId w:val="3"/>
        </w:numPr>
      </w:pPr>
      <w:r>
        <w:t xml:space="preserve">Formula parser (NL → NTP formulas)</w:t>
      </w:r>
    </w:p>
    <w:p>
      <w:pPr>
        <w:pStyle w:val="ListParagraph"/>
        <w:numPr>
          <w:ilvl w:val="0"/>
          <w:numId w:val="3"/>
        </w:numPr>
      </w:pPr>
      <w:r>
        <w:t xml:space="preserve">Existential loading calculator</w:t>
      </w:r>
    </w:p>
    <w:p>
      <w:pPr>
        <w:pStyle w:val="ListParagraph"/>
        <w:numPr>
          <w:ilvl w:val="0"/>
          <w:numId w:val="3"/>
        </w:numPr>
      </w:pPr>
      <w:r>
        <w:t xml:space="preserve">Indiscernibility relation checker</w:t>
      </w:r>
    </w:p>
    <w:p>
      <w:pPr>
        <w:pStyle w:val="ListParagraph"/>
        <w:numPr>
          <w:ilvl w:val="0"/>
          <w:numId w:val="3"/>
        </w:numPr>
      </w:pPr>
      <w:r>
        <w:t xml:space="preserve">E! corpus interface (read-only for MVP)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Test suite (all examples from this document)</w:t>
      </w:r>
    </w:p>
    <w:p>
      <w:pPr>
        <w:pStyle w:val="Heading2"/>
      </w:pPr>
      <w:r>
        <w:t xml:space="preserve">7.3 Future Phases (Pending Sources)</w:t>
      </w:r>
    </w:p>
    <w:p>
      <w:pPr>
        <w:pStyle w:val="ListParagraph"/>
        <w:numPr>
          <w:ilvl w:val="0"/>
          <w:numId w:val="2"/>
        </w:numPr>
      </w:pPr>
      <w:r>
        <w:t xml:space="preserve">Phase C: Hexadecagon implementation (after Wessel 1989 review)</w:t>
      </w:r>
    </w:p>
    <w:p>
      <w:pPr>
        <w:pStyle w:val="ListParagraph"/>
        <w:numPr>
          <w:ilvl w:val="0"/>
          <w:numId w:val="2"/>
        </w:numPr>
      </w:pPr>
      <w:r>
        <w:t xml:space="preserve">Phase D: Strict/lax consequence distinction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Phase E: Definite descriptions as primitives</w:t>
      </w:r>
    </w:p>
    <w:p>
      <w:r>
        <w:br w:type="page"/>
      </w:r>
    </w:p>
    <w:p>
      <w:pPr>
        <w:pStyle w:val="Heading1"/>
      </w:pPr>
      <w:r>
        <w:t xml:space="preserve">Appendix A: References</w:t>
      </w:r>
    </w:p>
    <w:p>
      <w:pPr>
        <w:spacing w:after="180"/>
      </w:pPr>
      <w:r>
        <w:t xml:space="preserve">Wessel, H. (1992). 'Existenz, Ununterscheidbarkeit, Identität.' </w:t>
      </w:r>
      <w:r>
        <w:rPr>
          <w:i/>
          <w:iCs/>
        </w:rPr>
        <w:t xml:space="preserve">Wissenschaftliche Zeitschrift der Humboldt-Universität zu Berlin</w:t>
      </w:r>
      <w:r>
        <w:t xml:space="preserve">, Reihe Geistes- und Sozialwiss. 41, pp. 30-39.</w:t>
      </w:r>
    </w:p>
    <w:p>
      <w:pPr>
        <w:spacing w:after="180"/>
      </w:pPr>
      <w:r>
        <w:t xml:space="preserve">Wessel, H. (1989). </w:t>
      </w:r>
      <w:r>
        <w:rPr>
          <w:i/>
          <w:iCs/>
        </w:rPr>
        <w:t xml:space="preserve">Logik</w:t>
      </w:r>
      <w:r>
        <w:t xml:space="preserve">. Berlin. [Not yet reviewed]</w:t>
      </w:r>
    </w:p>
    <w:p>
      <w:pPr>
        <w:spacing w:after="180"/>
      </w:pPr>
      <w:r>
        <w:t xml:space="preserve">Wessel, H. (1996). </w:t>
      </w:r>
      <w:r>
        <w:rPr>
          <w:i/>
          <w:iCs/>
        </w:rPr>
        <w:t xml:space="preserve">Logik und Philosophie</w:t>
      </w:r>
      <w:r>
        <w:t xml:space="preserve">. Logos Verlag, Berlin. [Not yet reviewed]</w:t>
      </w:r>
    </w:p>
    <w:p>
      <w:pPr>
        <w:spacing w:after="240"/>
      </w:pPr>
      <w:r>
        <w:t xml:space="preserve">Krampitz, K.-H. (1990). </w:t>
      </w:r>
      <w:r>
        <w:rPr>
          <w:i/>
          <w:iCs/>
        </w:rPr>
        <w:t xml:space="preserve">Prädikation, Quantoren, Existenz. Ein Beitrag zur philosophischen Logik</w:t>
      </w:r>
      <w:r>
        <w:t xml:space="preserve">. Berlin, Humboldt-Univ., Phil. Diss. B. [Cited in Wessel 1992]</w:t>
      </w:r>
    </w:p>
    <w:p>
      <w:pPr>
        <w:spacing w:before="480"/>
        <w:jc w:val="center"/>
      </w:pPr>
      <w:r>
        <w:rPr>
          <w:i/>
          <w:iCs/>
          <w:color w:val="808080"/>
        </w:rPr>
        <w:t xml:space="preserve">— End of Document —</w:t>
      </w:r>
    </w:p>
    <w:p>
      <w:pPr>
        <w:spacing w:before="120"/>
        <w:jc w:val="center"/>
      </w:pPr>
      <w:r>
        <w:rPr>
          <w:color w:val="808080"/>
          <w:sz w:val="20"/>
          <w:szCs w:val="20"/>
        </w:rPr>
        <w:t xml:space="preserve">Version 1.0 | January 2026</w:t>
      </w:r>
    </w:p>
    <w:p>
      <w:pPr>
        <w:spacing w:before="80"/>
        <w:jc w:val="center"/>
      </w:pPr>
      <w:r>
        <w:rPr>
          <w:color w:val="808080"/>
          <w:sz w:val="20"/>
          <w:szCs w:val="20"/>
        </w:rPr>
        <w:t xml:space="preserve">For: NTP Logic Engine AI System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5"/>
      <w:sz w:val="26"/>
      <w:szCs w:val="26"/>
    </w:rPr>
  </w:style>
  <w:style w:type="paragraph" w:styleId="CodeBlock">
    <w:name w:val="Code Block"/>
    <w:basedOn w:val="Normal"/>
    <w:next w:val="Normal"/>
    <w:pPr>
      <w:spacing w:before="120" w:after="120"/>
      <w:ind w:left="36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2026-01-27T18:47:02.448Z</dcterms:created>
  <dcterms:modified xsi:type="dcterms:W3CDTF">2026-01-27T18:47:02.449Z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