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36"/>
          <w:szCs w:val="36"/>
        </w:rPr>
        <w:t xml:space="preserve">Erhöhte Geschäftsgebühr nach Nr. 2300 VV RVG</w:t>
      </w:r>
    </w:p>
    <w:p>
      <w:pPr>
        <w:spacing w:after="100"/>
        <w:jc w:val="center"/>
      </w:pPr>
      <w:r>
        <w:rPr>
          <w:rFonts w:ascii="Arial" w:cs="Arial" w:eastAsia="Arial" w:hAnsi="Arial"/>
          <w:color w:val="2E75B6"/>
          <w:sz w:val="26"/>
          <w:szCs w:val="26"/>
        </w:rPr>
        <w:t xml:space="preserve">Entscheidungsmatrix für Verkehrsunfallsachen</w:t>
      </w:r>
    </w:p>
    <w:p>
      <w:pPr>
        <w:spacing w:after="400"/>
        <w:jc w:val="center"/>
      </w:pPr>
      <w:r>
        <w:rPr>
          <w:rFonts w:ascii="Arial" w:cs="Arial" w:eastAsia="Arial" w:hAnsi="Arial"/>
          <w:color w:val="888888"/>
          <w:sz w:val="20"/>
          <w:szCs w:val="20"/>
        </w:rPr>
        <w:t xml:space="preserve">Stand: April 2026 – Kanzleiinternes Arbeitsdokument</w:t>
      </w:r>
    </w:p>
    <w:p>
      <w:pPr>
        <w:pStyle w:val="Heading1"/>
      </w:pPr>
      <w:r>
        <w:t xml:space="preserve">I. Rechtliche Grundlagen</w:t>
      </w:r>
    </w:p>
    <w:p>
      <w:pPr>
        <w:spacing w:after="120"/>
      </w:pPr>
      <w:r>
        <w:t xml:space="preserve">Die Geschäftsgebühr gemäß Nr. 2300 VV RVG ist eine Rahmengebühr mit einem Satz von 0,5 bis 2,5. Die Bestimmung der konkreten Gebühr erfolgt nach § 14 Abs. 1 RVG unter Berücksichtigung aller Umstände des Einzelfalls. Die sogenannte Schwellengebühr von 1,3 darf nur überschritten werden, wenn die Tätigkeit umfangreich oder schwierig war (Anm. zu Nr. 2300 VV RVG).</w:t>
      </w:r>
    </w:p>
    <w:p>
      <w:pPr>
        <w:spacing w:after="120"/>
      </w:pPr>
      <w:r>
        <w:rPr>
          <w:b/>
          <w:bCs/>
        </w:rPr>
        <w:t xml:space="preserve">Maßgebliche Kriterien nach § 14 Abs. 1 RVG:</w:t>
      </w:r>
    </w:p>
    <w:p>
      <w:pPr>
        <w:pStyle w:val="ListParagraph"/>
        <w:numPr>
          <w:ilvl w:val="0"/>
          <w:numId w:val="2"/>
        </w:numPr>
      </w:pPr>
      <w:r>
        <w:t xml:space="preserve">Umfang und Schwierigkeit der anwaltlichen Tätigkeit</w:t>
      </w:r>
    </w:p>
    <w:p>
      <w:pPr>
        <w:pStyle w:val="ListParagraph"/>
        <w:numPr>
          <w:ilvl w:val="0"/>
          <w:numId w:val="2"/>
        </w:numPr>
      </w:pPr>
      <w:r>
        <w:t xml:space="preserve">Bedeutung der Angelegenheit für den Auftraggeber</w:t>
      </w:r>
    </w:p>
    <w:p>
      <w:pPr>
        <w:pStyle w:val="ListParagraph"/>
        <w:numPr>
          <w:ilvl w:val="0"/>
          <w:numId w:val="2"/>
        </w:numPr>
      </w:pPr>
      <w:r>
        <w:t xml:space="preserve">Einkommens- und Vermögensverhältnisse des Auftraggebers</w:t>
      </w:r>
    </w:p>
    <w:p>
      <w:pPr>
        <w:pStyle w:val="ListParagraph"/>
        <w:numPr>
          <w:ilvl w:val="0"/>
          <w:numId w:val="2"/>
        </w:numPr>
        <w:spacing w:after="200"/>
      </w:pPr>
      <w:r>
        <w:t xml:space="preserve">Besonderes Haftungsrisiko des Rechtsanwalts</w:t>
      </w:r>
    </w:p>
    <w:p>
      <w:pPr>
        <w:spacing w:after="200"/>
      </w:pPr>
      <w:r>
        <w:rPr>
          <w:b/>
          <w:bCs/>
        </w:rPr>
        <w:t xml:space="preserve">Leitentscheidung: </w:t>
      </w:r>
      <w:r>
        <w:t xml:space="preserve">BGH, Urteil vom 08.05.2012 – VI ZR 273/11: Der BGH bestätigt, dass dem Rechtsanwalt bei der Bestimmung der Rahmengebühr ein Spielraum von 20 % (sog. Toleranzgrenze) zusteht. Eine Gebühr von 1,3 ist bei einem durchschnittlichen Verkehrsunfall angemessen. Eine Überschreitung bis 1,56 (= 1,3 + 20 %) ist nur angreifbar, wenn die Gebühr unbillig ist.</w:t>
      </w:r>
    </w:p>
    <w:p>
      <w:pPr>
        <w:pStyle w:val="Heading1"/>
      </w:pPr>
      <w:r>
        <w:t xml:space="preserve">II. Gebührenstufen im Überblick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506"/>
      </w:tblGrid>
      <w:tr>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Gebühr</w:t>
            </w:r>
          </w:p>
        </w:tc>
        <w:tc>
          <w:tcPr>
            <w:tcW w:type="dxa" w:w="28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Einordnung</w:t>
            </w:r>
          </w:p>
        </w:tc>
        <w:tc>
          <w:tcPr>
            <w:tcW w:type="dxa" w:w="5506"/>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Typische Konstellation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color w:val="000000"/>
                <w:sz w:val="20"/>
                <w:szCs w:val="20"/>
              </w:rPr>
              <w:t xml:space="preserve">1,3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Schwellengebühr (Regelfall)</w:t>
            </w:r>
          </w:p>
        </w:tc>
        <w:tc>
          <w:tcPr>
            <w:tcW w:type="dxa" w:w="5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Durchschnittlicher Verkehrsunfall, reiner Sachschaden, klare Haftungslage, überschaubarer Schriftverkehr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color w:val="D4AC0D"/>
                <w:sz w:val="20"/>
                <w:szCs w:val="20"/>
              </w:rPr>
              <w:t xml:space="preserve">1,5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Überdurchschnittlich</w:t>
            </w:r>
          </w:p>
        </w:tc>
        <w:tc>
          <w:tcPr>
            <w:tcW w:type="dxa" w:w="5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Personenschaden (leicht bis mittelschwer), umfangreicherer Schriftverkehr, streitige Haftungsquote, mehrere Schadenspositionen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color w:val="E67E22"/>
                <w:sz w:val="20"/>
                <w:szCs w:val="20"/>
              </w:rPr>
              <w:t xml:space="preserve">1,8</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Erheblich überdurchschnittlich</w:t>
            </w:r>
          </w:p>
        </w:tc>
        <w:tc>
          <w:tcPr>
            <w:tcW w:type="dxa" w:w="5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Schwerer Personenschaden, Auslandsbezug mit Regulierung über ausländischen Versicherer, komplexe Haftungsfragen, umfangreiche Beweissicherung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color w:val="C0392B"/>
                <w:sz w:val="20"/>
                <w:szCs w:val="20"/>
              </w:rPr>
              <w:t xml:space="preserve">2,0–2,5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Spitzengebühr / Höchstgebühr</w:t>
            </w:r>
          </w:p>
        </w:tc>
        <w:tc>
          <w:tcPr>
            <w:tcW w:type="dxa" w:w="5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Schwerstverl., Todesfall, langwierige Regulierung (&gt;12 Monate), Auslandsbezug + Personenschaden kumuliert, extreme Komplexität</w:t>
            </w:r>
          </w:p>
        </w:tc>
      </w:tr>
    </w:tbl>
    <w:p>
      <w:pPr>
        <w:spacing w:after="200" w:before="200"/>
      </w:pPr>
    </w:p>
    <w:p>
      <w:pPr>
        <w:pStyle w:val="Heading1"/>
      </w:pPr>
      <w:r>
        <w:t xml:space="preserve">III. Fallkonstellationen mit Textvorschlägen</w:t>
      </w:r>
    </w:p>
    <w:p>
      <w:pPr>
        <w:pStyle w:val="Heading2"/>
      </w:pPr>
      <w:r>
        <w:t xml:space="preserve">A. Geschäftsgebühr 1,5</w:t>
      </w:r>
    </w:p>
    <w:p>
      <w:pPr>
        <w:pStyle w:val="Heading3"/>
      </w:pPr>
      <w:r>
        <w:t xml:space="preserve">1. Sachschaden mit streitiger Haftungsquote</w:t>
      </w:r>
    </w:p>
    <w:p>
      <w:pPr>
        <w:spacing w:after="80"/>
      </w:pPr>
      <w:r>
        <w:rPr>
          <w:b/>
          <w:bCs/>
        </w:rPr>
        <w:t xml:space="preserve">Rechtsprechung: </w:t>
      </w:r>
      <w:r>
        <w:t xml:space="preserve">BGH, Urt. v. 08.05.2012 – VI ZR 273/11 (Toleranzgrenze 20 %); BGH, Urt. v. 11.07.2012 – VIII ZR 323/11</w:t>
      </w:r>
    </w:p>
    <w:p>
      <w:pPr>
        <w:spacing w:after="80"/>
      </w:pPr>
      <w:r>
        <w:rPr>
          <w:b/>
          <w:bCs/>
        </w:rPr>
        <w:t xml:space="preserve">Begründungsaufwand: </w:t>
      </w:r>
      <w:r>
        <w:rPr>
          <w:color w:val="27AE60"/>
        </w:rPr>
        <w:t xml:space="preserve">Gering bis mittel</w:t>
      </w:r>
      <w:r>
        <w:t xml:space="preserve"> – Innerhalb der Toleranzgrenze von 20 % genügt eine kurze Darlegung.</w:t>
      </w:r>
    </w:p>
    <w:p>
      <w:pPr>
        <w:spacing w:after="60"/>
      </w:pPr>
      <w:r>
        <w:rPr>
          <w:b/>
          <w:bCs/>
          <w:i/>
          <w:iCs/>
        </w:rPr>
        <w:t xml:space="preserve">Textvorschlag:</w:t>
      </w:r>
    </w:p>
    <w:p>
      <w:pPr>
        <w:spacing w:after="200"/>
        <w:ind w:left="360"/>
      </w:pPr>
      <w:r>
        <w:rPr>
          <w:rFonts w:ascii="Arial" w:cs="Arial" w:eastAsia="Arial" w:hAnsi="Arial"/>
          <w:i/>
          <w:iCs/>
          <w:sz w:val="20"/>
          <w:szCs w:val="20"/>
        </w:rPr>
        <w:t xml:space="preserve">„Die außergerichtliche Tätigkeit des Unterzeichners ging über den Umfang einer durchschnittlichen Verkehrsunfallregulierung hinaus. Die Haftungslage war zwischen den Parteien streitig, sodass eine vertiefte Auseinandersetzung mit den unfallanalytischen Gegebenheiten und der Rechtsprechung zur Haftungsverteilung erforderlich war. Der erhöhte Umfang und die gesteigerte Schwierigkeit der Angelegenheit rechtfertigen den Ansatz einer 1,5-Geschäftsgebühr gemäß Nr. 2300 VV RVG i.V.m. § 14 Abs. 1 RVG. Dies liegt zudem innerhalb der vom BGH anerkannten Toleranzgrenze von 20 % (BGH, Urt. v. 08.05.2012 – VI ZR 273/11).“</w:t>
      </w:r>
    </w:p>
    <w:p>
      <w:pPr>
        <w:pStyle w:val="Heading3"/>
      </w:pPr>
      <w:r>
        <w:t xml:space="preserve">2. Leichter bis mittelschwerer Personenschaden (ohne Auslandsbezug)</w:t>
      </w:r>
    </w:p>
    <w:p>
      <w:pPr>
        <w:spacing w:after="80"/>
      </w:pPr>
      <w:r>
        <w:rPr>
          <w:b/>
          <w:bCs/>
        </w:rPr>
        <w:t xml:space="preserve">Rechtsprechung: </w:t>
      </w:r>
      <w:r>
        <w:t xml:space="preserve">AG Kehl, Urt. v. 31.01.2007 – 4 C 678/06; AG Sinzig, Urt. v. 07.06.2007 – 10 C 99/07; LG Saarbrücken, Urt. v. 25.09.2009 – 13 S 68/09</w:t>
      </w:r>
    </w:p>
    <w:p>
      <w:pPr>
        <w:spacing w:after="80"/>
      </w:pPr>
      <w:r>
        <w:rPr>
          <w:b/>
          <w:bCs/>
        </w:rPr>
        <w:t xml:space="preserve">Begründungsaufwand: </w:t>
      </w:r>
      <w:r>
        <w:rPr>
          <w:color w:val="D4AC0D"/>
        </w:rPr>
        <w:t xml:space="preserve">Mittel</w:t>
      </w:r>
      <w:r>
        <w:t xml:space="preserve"> – Es ist darzulegen, warum der Personenschaden die Angelegenheit überdurchschnittlich macht.</w:t>
      </w:r>
    </w:p>
    <w:p>
      <w:pPr>
        <w:spacing w:after="60"/>
      </w:pPr>
      <w:r>
        <w:rPr>
          <w:b/>
          <w:bCs/>
          <w:i/>
          <w:iCs/>
        </w:rPr>
        <w:t xml:space="preserve">Textvorschlag:</w:t>
      </w:r>
    </w:p>
    <w:p>
      <w:pPr>
        <w:spacing w:after="200"/>
        <w:ind w:left="360"/>
      </w:pPr>
      <w:r>
        <w:rPr>
          <w:rFonts w:ascii="Arial" w:cs="Arial" w:eastAsia="Arial" w:hAnsi="Arial"/>
          <w:i/>
          <w:iCs/>
          <w:sz w:val="20"/>
          <w:szCs w:val="20"/>
        </w:rPr>
        <w:t xml:space="preserve">„Die Angelegenheit war sowohl in tatsächlicher als auch in rechtlicher Hinsicht überdurchschnittlich umfangreich und schwierig. Neben der Regulierung des Sachschadens war die Geltendmachung von Schmerzensgeldforderungen aufgrund der erlittenen Personenschäden erforderlich. Dies umfasste die Einholung und Auswertung medizinischer Unterlagen, die Prüfung der Kausalität zwischen Unfallereignis und Verletzungsbild sowie die Bemessung eines angemessenen Schmerzensgeldes unter Heranziehung einschlägiger Rechtsprechung. Der Gesamtaufwand überstieg den einer durchschnittlichen Verkehrsunfallregulierung erheblich, sodass eine 1,5-Geschäftsgebühr gerechtfertigt ist.“</w:t>
      </w:r>
    </w:p>
    <w:p>
      <w:pPr>
        <w:pStyle w:val="Heading3"/>
      </w:pPr>
      <w:r>
        <w:t xml:space="preserve">3. Mehrere Schadenspositionen / erhöhter Korrespondenzaufwand</w:t>
      </w:r>
    </w:p>
    <w:p>
      <w:pPr>
        <w:spacing w:after="80"/>
      </w:pPr>
      <w:r>
        <w:rPr>
          <w:b/>
          <w:bCs/>
        </w:rPr>
        <w:t xml:space="preserve">Rechtsprechung: </w:t>
      </w:r>
      <w:r>
        <w:t xml:space="preserve">AG Hagen, Urt. v. 13.02.2008 – 16 C 374/07; LG Dortmund, Urt. v. 07.07.2011 – 4 S 11/11</w:t>
      </w:r>
    </w:p>
    <w:p>
      <w:pPr>
        <w:spacing w:after="80"/>
      </w:pPr>
      <w:r>
        <w:rPr>
          <w:b/>
          <w:bCs/>
        </w:rPr>
        <w:t xml:space="preserve">Begründungsaufwand: </w:t>
      </w:r>
      <w:r>
        <w:rPr>
          <w:color w:val="27AE60"/>
        </w:rPr>
        <w:t xml:space="preserve">Gering</w:t>
      </w:r>
      <w:r>
        <w:t xml:space="preserve"> – Dokumentation des Schriftverkehrs und der Anzahl der Schadenspositionen genügt.</w:t>
      </w:r>
    </w:p>
    <w:p>
      <w:pPr>
        <w:spacing w:after="60"/>
      </w:pPr>
      <w:r>
        <w:rPr>
          <w:b/>
          <w:bCs/>
          <w:i/>
          <w:iCs/>
        </w:rPr>
        <w:t xml:space="preserve">Textvorschlag:</w:t>
      </w:r>
    </w:p>
    <w:p>
      <w:pPr>
        <w:spacing w:after="200"/>
        <w:ind w:left="360"/>
      </w:pPr>
      <w:r>
        <w:rPr>
          <w:rFonts w:ascii="Arial" w:cs="Arial" w:eastAsia="Arial" w:hAnsi="Arial"/>
          <w:i/>
          <w:iCs/>
          <w:sz w:val="20"/>
          <w:szCs w:val="20"/>
        </w:rPr>
        <w:t xml:space="preserve">„Die Regulierung war aufgrund der Vielzahl der geltend gemachten Schadenspositionen (Reparaturkosten, Mietwagenkosten, Nutzungsausfallentschädigung, Sachverständigenkosten, An-/Abmeldekosten, Unkostenpauschale) überdurchschnittlich umfangreich. Der Schriftverkehr mit der gegnerischen Haftpflichtversicherung umfasste [Anzahl] Schreiben über einen Zeitraum von [Zeitraum]. Der Umfang der Tätigkeit rechtfertigt den Ansatz einer 1,5-Geschäftsgebühr.“</w:t>
      </w:r>
    </w:p>
    <w:p>
      <w:r>
        <w:br w:type="page"/>
      </w:r>
    </w:p>
    <w:p>
      <w:pPr>
        <w:pStyle w:val="Heading2"/>
      </w:pPr>
      <w:r>
        <w:t xml:space="preserve">B. Geschäftsgebühr 1,8</w:t>
      </w:r>
    </w:p>
    <w:p>
      <w:pPr>
        <w:pStyle w:val="Heading3"/>
      </w:pPr>
      <w:r>
        <w:t xml:space="preserve">1. Verkehrsunfall mit Auslandsbezug (Sachschaden)</w:t>
      </w:r>
    </w:p>
    <w:p>
      <w:pPr>
        <w:spacing w:after="80"/>
      </w:pPr>
      <w:r>
        <w:rPr>
          <w:b/>
          <w:bCs/>
        </w:rPr>
        <w:t xml:space="preserve">Rechtsprechung: </w:t>
      </w:r>
      <w:r>
        <w:t xml:space="preserve">AG Kehl, Urt. v. 31.01.2007 – 4 C 678/06 (Auslandsunfall); OLG Dresden, Urt. v. 06.12.2015 – 7 U 1027/15; Gutachten RAK München zur grenzüberschreitenden Regulierung</w:t>
      </w:r>
    </w:p>
    <w:p>
      <w:pPr>
        <w:spacing w:after="80"/>
      </w:pPr>
      <w:r>
        <w:rPr>
          <w:b/>
          <w:bCs/>
        </w:rPr>
        <w:t xml:space="preserve">Begründungsaufwand: </w:t>
      </w:r>
      <w:r>
        <w:rPr>
          <w:color w:val="E67E22"/>
        </w:rPr>
        <w:t xml:space="preserve">Mittel bis hoch</w:t>
      </w:r>
      <w:r>
        <w:t xml:space="preserve"> – Die konkreten Mehraufwendungen durch den Auslandsbezug sind detailliert darzulegen.</w:t>
      </w:r>
    </w:p>
    <w:p>
      <w:pPr>
        <w:spacing w:after="60"/>
      </w:pPr>
      <w:r>
        <w:rPr>
          <w:b/>
          <w:bCs/>
          <w:i/>
          <w:iCs/>
        </w:rPr>
        <w:t xml:space="preserve">Textvorschlag:</w:t>
      </w:r>
    </w:p>
    <w:p>
      <w:pPr>
        <w:spacing w:after="200"/>
        <w:ind w:left="360"/>
      </w:pPr>
      <w:r>
        <w:rPr>
          <w:rFonts w:ascii="Arial" w:cs="Arial" w:eastAsia="Arial" w:hAnsi="Arial"/>
          <w:i/>
          <w:iCs/>
          <w:sz w:val="20"/>
          <w:szCs w:val="20"/>
        </w:rPr>
        <w:t xml:space="preserve">„Die Angelegenheit wies einen erheblichen Auslandsbezug auf, der die Tätigkeit in Umfang und Schwierigkeit weit über den Durchschnitt hinaus steigerte. Die Regulierung erforderte die Ermittlung des zuständigen ausländischen Haftpflichtversicherers über den Zentralruf der Autoversicherer bzw. den Grüne-Karte-Regulierer, die Korrespondenz mit einem im Ausland ansässigen Versicherer bzw. dessen Regulierungsbeauftragten in Deutschland, die Prüfung des anwendbaren materiellen Rechts nach der Rom-II-Verordnung sowie die Auseinandersetzung mit abweichenden ausländischen Haftungsmaßstäben. Der erhebliche Mehraufwand rechtfertigt den Ansatz einer 1,8-Geschäftsgebühr gemäß Nr. 2300 VV RVG.“</w:t>
      </w:r>
    </w:p>
    <w:p>
      <w:pPr>
        <w:pStyle w:val="Heading3"/>
      </w:pPr>
      <w:r>
        <w:t xml:space="preserve">2. Schwerer Personenschaden (ohne Auslandsbezug)</w:t>
      </w:r>
    </w:p>
    <w:p>
      <w:pPr>
        <w:spacing w:after="80"/>
      </w:pPr>
      <w:r>
        <w:rPr>
          <w:b/>
          <w:bCs/>
        </w:rPr>
        <w:t xml:space="preserve">Rechtsprechung: </w:t>
      </w:r>
      <w:r>
        <w:t xml:space="preserve">AG Mannheim, Urt. v. 27.08.2008 – 3 C 202/08; OLG Dresden, Urt. v. 06.12.2015 – 7 U 1027/15; LG Saarbrücken, Urt. v. 25.09.2009 – 13 S 68/09</w:t>
      </w:r>
    </w:p>
    <w:p>
      <w:pPr>
        <w:spacing w:after="80"/>
      </w:pPr>
      <w:r>
        <w:rPr>
          <w:b/>
          <w:bCs/>
        </w:rPr>
        <w:t xml:space="preserve">Begründungsaufwand: </w:t>
      </w:r>
      <w:r>
        <w:rPr>
          <w:color w:val="D4AC0D"/>
        </w:rPr>
        <w:t xml:space="preserve">Mittel</w:t>
      </w:r>
      <w:r>
        <w:t xml:space="preserve"> – Die Schwere der Verletzungen und der daraus resultierende Mehraufwand sind darzulegen.</w:t>
      </w:r>
    </w:p>
    <w:p>
      <w:pPr>
        <w:spacing w:after="60"/>
      </w:pPr>
      <w:r>
        <w:rPr>
          <w:b/>
          <w:bCs/>
          <w:i/>
          <w:iCs/>
        </w:rPr>
        <w:t xml:space="preserve">Textvorschlag:</w:t>
      </w:r>
    </w:p>
    <w:p>
      <w:pPr>
        <w:spacing w:after="200"/>
        <w:ind w:left="360"/>
      </w:pPr>
      <w:r>
        <w:rPr>
          <w:rFonts w:ascii="Arial" w:cs="Arial" w:eastAsia="Arial" w:hAnsi="Arial"/>
          <w:i/>
          <w:iCs/>
          <w:sz w:val="20"/>
          <w:szCs w:val="20"/>
        </w:rPr>
        <w:t xml:space="preserve">„Der Mandant hat bei dem Verkehrsunfall schwere Verletzungen erlitten ([Art der Verletzungen]). Die außergerichtliche Regulierung erforderte umfangreiche medizinische Aufarbeitung, Einholung und Auswertung ärztlicher Berichte und Gutachten, Koordination mit Krankenversicherungsträgern, Geltendmachung von Verdienstausfall und Haushaltsführungsschaden sowie die Bemessung eines angemessenen Schmerzensgeldes für erhebliche Dauerschäden. Die Angelegenheit war in tatsächlicher und rechtlicher Hinsicht erheblich überdurchschnittlich schwierig und umfangreich. Eine 1,8-Geschäftsgebühr ist angemessen und durch die Rechtsprechung gedeckt.“</w:t>
      </w:r>
    </w:p>
    <w:p>
      <w:pPr>
        <w:pStyle w:val="Heading3"/>
      </w:pPr>
      <w:r>
        <w:t xml:space="preserve">3. Sachschaden mit Totalschaden / Reparaturkosten über Wiederbeschaffungswert</w:t>
      </w:r>
    </w:p>
    <w:p>
      <w:pPr>
        <w:spacing w:after="80"/>
      </w:pPr>
      <w:r>
        <w:rPr>
          <w:b/>
          <w:bCs/>
        </w:rPr>
        <w:t xml:space="preserve">Rechtsprechung: </w:t>
      </w:r>
      <w:r>
        <w:t xml:space="preserve">OLG Dresden, Urt. v. 06.12.2015 – 7 U 1027/15 (Reparaturkosten über Wiederbeschaffungswert); diverse AG-Rechtsprechung</w:t>
      </w:r>
    </w:p>
    <w:p>
      <w:pPr>
        <w:spacing w:after="80"/>
      </w:pPr>
      <w:r>
        <w:rPr>
          <w:b/>
          <w:bCs/>
        </w:rPr>
        <w:t xml:space="preserve">Begründungsaufwand: </w:t>
      </w:r>
      <w:r>
        <w:rPr>
          <w:color w:val="D4AC0D"/>
        </w:rPr>
        <w:t xml:space="preserve">Mittel</w:t>
      </w:r>
      <w:r>
        <w:t xml:space="preserve"> – Die 130-%-Grenze und deren rechtliche Implikationen müssen dargelegt werden.</w:t>
      </w:r>
    </w:p>
    <w:p>
      <w:pPr>
        <w:spacing w:after="60"/>
      </w:pPr>
      <w:r>
        <w:rPr>
          <w:b/>
          <w:bCs/>
          <w:i/>
          <w:iCs/>
        </w:rPr>
        <w:t xml:space="preserve">Textvorschlag:</w:t>
      </w:r>
    </w:p>
    <w:p>
      <w:pPr>
        <w:spacing w:after="200"/>
        <w:ind w:left="360"/>
      </w:pPr>
      <w:r>
        <w:rPr>
          <w:rFonts w:ascii="Arial" w:cs="Arial" w:eastAsia="Arial" w:hAnsi="Arial"/>
          <w:i/>
          <w:iCs/>
          <w:sz w:val="20"/>
          <w:szCs w:val="20"/>
        </w:rPr>
        <w:t xml:space="preserve">„Die Regulierung war aufgrund des wirtschaftlichen Totalschadens überdurchschnittlich schwierig. Es waren vertiefte rechtliche Prüfungen zur 130-%-Grenze nach BGH-Rechtsprechung, zur Abgrenzung zwischen Reparatur- und Wiederbeschaffungsaufwand sowie zum Restwert erforderlich. Die Auseinandersetzung mit dem gegnerischen Versicherer über die Wirtschaftlichkeit der Reparatur erforderte die Einholung mehrerer Sachverständigengutachten. Der Umfang und die Schwierigkeit der Tätigkeit rechtfertigen eine 1,8-Geschäftsgebühr.“</w:t>
      </w:r>
    </w:p>
    <w:p>
      <w:r>
        <w:br w:type="page"/>
      </w:r>
    </w:p>
    <w:p>
      <w:pPr>
        <w:pStyle w:val="Heading2"/>
      </w:pPr>
      <w:r>
        <w:t xml:space="preserve">C. Geschäftsgebühr 2,0 bis 2,5 (Spitzengebühr)</w:t>
      </w:r>
    </w:p>
    <w:p>
      <w:pPr>
        <w:pStyle w:val="Heading3"/>
      </w:pPr>
      <w:r>
        <w:t xml:space="preserve">1. Schwerstpersonenschaden / Todesfall (ohne Auslandsbezug)</w:t>
      </w:r>
    </w:p>
    <w:p>
      <w:pPr>
        <w:spacing w:after="80"/>
      </w:pPr>
      <w:r>
        <w:rPr>
          <w:b/>
          <w:bCs/>
        </w:rPr>
        <w:t xml:space="preserve">Rechtsprechung: </w:t>
      </w:r>
      <w:r>
        <w:t xml:space="preserve">AG Mannheim, Urt. v. 27.08.2008 – 3 C 202/08 (2,5 bei Schwerstverl. mit Dauerschaden); BGH, Urt. v. 31.10.2006 – VI ZR 261/05 (Erstattungsfähigkeit anwaltlicher Kosten bei schwerem Personenschaden)</w:t>
      </w:r>
    </w:p>
    <w:p>
      <w:pPr>
        <w:spacing w:after="80"/>
      </w:pPr>
      <w:r>
        <w:rPr>
          <w:b/>
          <w:bCs/>
        </w:rPr>
        <w:t xml:space="preserve">Begründungsaufwand: </w:t>
      </w:r>
      <w:r>
        <w:rPr>
          <w:color w:val="C0392B"/>
        </w:rPr>
        <w:t xml:space="preserve">Hoch</w:t>
      </w:r>
      <w:r>
        <w:t xml:space="preserve"> – Umfassende Dokumentation des Mehraufwands, der Verfahrensdauer und der Komplexität erforderlich.</w:t>
      </w:r>
    </w:p>
    <w:p>
      <w:pPr>
        <w:spacing w:after="60"/>
      </w:pPr>
      <w:r>
        <w:rPr>
          <w:b/>
          <w:bCs/>
          <w:i/>
          <w:iCs/>
        </w:rPr>
        <w:t xml:space="preserve">Textvorschlag:</w:t>
      </w:r>
    </w:p>
    <w:p>
      <w:pPr>
        <w:spacing w:after="200"/>
        <w:ind w:left="360"/>
      </w:pPr>
      <w:r>
        <w:rPr>
          <w:rFonts w:ascii="Arial" w:cs="Arial" w:eastAsia="Arial" w:hAnsi="Arial"/>
          <w:i/>
          <w:iCs/>
          <w:sz w:val="20"/>
          <w:szCs w:val="20"/>
        </w:rPr>
        <w:t xml:space="preserve">„Der Mandant hat bei dem Verkehrsunfall schwerste Verletzungen erlitten ([Querschnittslähmung / Polytrauma / Schädel-Hirn-Trauma / tödliche Verletzungen eines Angehörigen]). Die außergerichtliche Regulierung erstreckte sich über einen Zeitraum von [Zeitraum] Monaten und umfasste: die Koordination mit mehreren medizinischen Fachrichtungen und Einholung umfangreicher Gutachten; die Berechnung komplexer Schadenspositionen einschließlich Erwerbsschaden, Pflegemehraufwand, Umbaukosten, Haushaltsführungsschaden und vermehrter Bedürfnisse; die Verhandlung eines erheblichen Schmerzensgeldes unter Würdigung der Dauerhaftigkeit der Beeinträchtigungen; die Abstimmung mit Sozialversicherungsträgern hinsichtlich Übergangsansprüchen. Die Angelegenheit war in jeder Hinsicht weit überdurchschnittlich umfangreich und schwierig. Die Spitzengebühr von [2,0/2,3/2,5] ist sachlich gerechtfertigt (vgl. AG Mannheim, 3 C 202/08).“</w:t>
      </w:r>
    </w:p>
    <w:p>
      <w:pPr>
        <w:pStyle w:val="Heading3"/>
      </w:pPr>
      <w:r>
        <w:t xml:space="preserve">2. Schwerer Personenschaden mit Auslandsbezug (kumulative Erhöhung)</w:t>
      </w:r>
    </w:p>
    <w:p>
      <w:pPr>
        <w:spacing w:after="80"/>
      </w:pPr>
      <w:r>
        <w:rPr>
          <w:b/>
          <w:bCs/>
        </w:rPr>
        <w:t xml:space="preserve">Rechtsprechung: </w:t>
      </w:r>
      <w:r>
        <w:t xml:space="preserve">Gutachten RAK München zur grenzüberschreitenden Regulierung bei Personenschäden; AG Mannheim, 3 C 202/08 (Schwerstpersonenschaden); OLG Dresden, 7 U 1027/15 (kumulative Schwierigkeitssteigerung)</w:t>
      </w:r>
    </w:p>
    <w:p>
      <w:pPr>
        <w:spacing w:after="80"/>
      </w:pPr>
      <w:r>
        <w:rPr>
          <w:b/>
          <w:bCs/>
        </w:rPr>
        <w:t xml:space="preserve">Begründungsaufwand: </w:t>
      </w:r>
      <w:r>
        <w:rPr>
          <w:color w:val="C0392B"/>
        </w:rPr>
        <w:t xml:space="preserve">Sehr hoch</w:t>
      </w:r>
      <w:r>
        <w:t xml:space="preserve"> – Kumulation aller erschwerenden Umstände muss lückenlos dokumentiert werden.</w:t>
      </w:r>
    </w:p>
    <w:p>
      <w:pPr>
        <w:spacing w:after="60"/>
      </w:pPr>
      <w:r>
        <w:rPr>
          <w:b/>
          <w:bCs/>
          <w:i/>
          <w:iCs/>
        </w:rPr>
        <w:t xml:space="preserve">Textvorschlag:</w:t>
      </w:r>
    </w:p>
    <w:p>
      <w:pPr>
        <w:spacing w:after="200"/>
        <w:ind w:left="360"/>
      </w:pPr>
      <w:r>
        <w:rPr>
          <w:rFonts w:ascii="Arial" w:cs="Arial" w:eastAsia="Arial" w:hAnsi="Arial"/>
          <w:i/>
          <w:iCs/>
          <w:sz w:val="20"/>
          <w:szCs w:val="20"/>
        </w:rPr>
        <w:t xml:space="preserve">„Die Angelegenheit wies eine kumulative Schwierigkeitssteigerung auf, die den Ansatz einer Spitzengebühr von [2,3/2,5] rechtfertigt. Zum erheblichen Personenschaden ([Beschreibung]) trat ein Auslandsbezug hinzu, der zusätzliche Prüfungen des anwendbaren Rechts (Rom-II-VO), die Korrespondenz mit dem ausländischen Versicherer [ggf. über Regulierungsbeauftragten], die Ermittlung ausländischer Haftungsmaßstäbe und die Koordination mit ausländischen Ärzten und Behörden erforderte. Die Regulierung erstreckte sich über [Zeitraum] und umfasste [Anzahl] Schriftsätze. Der Gesamtaufwand lag in jeder Hinsicht ganz erheblich über dem Durchschnitt. In der Gesamtschau aller Kriterien des § 14 RVG ist die Spitzengebühr von [2,3/2,5] angemessen.“</w:t>
      </w:r>
    </w:p>
    <w:p>
      <w:pPr>
        <w:pStyle w:val="Heading3"/>
      </w:pPr>
      <w:r>
        <w:t xml:space="preserve">3. Langwierige Regulierung mit regulärer Komplexität aber extremem Umfang</w:t>
      </w:r>
    </w:p>
    <w:p>
      <w:pPr>
        <w:spacing w:after="80"/>
      </w:pPr>
      <w:r>
        <w:rPr>
          <w:b/>
          <w:bCs/>
        </w:rPr>
        <w:t xml:space="preserve">Rechtsprechung: </w:t>
      </w:r>
      <w:r>
        <w:t xml:space="preserve">AG Mannheim, 3 C 202/08 (Verfahrensdauer &gt; 12 Monate als Kriterium); allgemeine Rspr. zu § 14 RVG</w:t>
      </w:r>
    </w:p>
    <w:p>
      <w:pPr>
        <w:spacing w:after="80"/>
      </w:pPr>
      <w:r>
        <w:rPr>
          <w:b/>
          <w:bCs/>
        </w:rPr>
        <w:t xml:space="preserve">Begründungsaufwand: </w:t>
      </w:r>
      <w:r>
        <w:rPr>
          <w:color w:val="C0392B"/>
        </w:rPr>
        <w:t xml:space="preserve">Hoch</w:t>
      </w:r>
      <w:r>
        <w:t xml:space="preserve"> – Der zeitliche Aufwand muss durch konkrete Zeiterfassung und Schriftverkehr nachgewiesen werden.</w:t>
      </w:r>
    </w:p>
    <w:p>
      <w:pPr>
        <w:spacing w:after="60"/>
      </w:pPr>
      <w:r>
        <w:rPr>
          <w:b/>
          <w:bCs/>
          <w:i/>
          <w:iCs/>
        </w:rPr>
        <w:t xml:space="preserve">Textvorschlag:</w:t>
      </w:r>
    </w:p>
    <w:p>
      <w:pPr>
        <w:spacing w:after="200"/>
        <w:ind w:left="360"/>
      </w:pPr>
      <w:r>
        <w:rPr>
          <w:rFonts w:ascii="Arial" w:cs="Arial" w:eastAsia="Arial" w:hAnsi="Arial"/>
          <w:i/>
          <w:iCs/>
          <w:sz w:val="20"/>
          <w:szCs w:val="20"/>
        </w:rPr>
        <w:t xml:space="preserve">„Die außergerichtliche Regulierung erstreckte sich über einen außerordentlich langen Zeitraum von [Zeitraum] Monaten. Die Korrespondenz mit dem gegnerischen Haftpflichtversicherer umfasste [Anzahl] Schriftsätze. Trotz wiederholt angemessener Fristsetzungen verzögerte der Versicherer die Regulierung, sodass wiederholte Sachstandsanfragen, Mahnungen und die Androhung gerichtlicher Schritte erforderlich waren. Die Bearbeitung [Anzahl] verschiedener Schadenspositionen mit jeweils eigener Begründung und Belegführung führte zu einem ganz erheblichen zeitlichen und inhaltlichen Aufwand, der die Spitzengebühr von [2,0/2,3] rechtfertigt.“</w:t>
      </w:r>
    </w:p>
    <w:p>
      <w:r>
        <w:br w:type="page"/>
      </w:r>
    </w:p>
    <w:p>
      <w:pPr>
        <w:pStyle w:val="Heading1"/>
      </w:pPr>
      <w:r>
        <w:t xml:space="preserve">IV. Zusammenfassende Entscheidungsmatrix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2106"/>
      </w:tblGrid>
      <w:tr>
        <w:tc>
          <w:tcPr>
            <w:tcW w:type="dxa" w:w="26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Fallkonstellation</w:t>
            </w:r>
          </w:p>
        </w:tc>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1,3</w:t>
            </w:r>
          </w:p>
        </w:tc>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1,5</w:t>
            </w:r>
          </w:p>
        </w:tc>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1,8</w:t>
            </w:r>
          </w:p>
        </w:tc>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2,0–2,5</w:t>
            </w:r>
          </w:p>
        </w:tc>
        <w:tc>
          <w:tcPr>
            <w:tcW w:type="dxa" w:w="2106"/>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Begründung</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Sachschaden, klare Haftung</w:t>
            </w:r>
          </w:p>
        </w:tc>
        <w:tc>
          <w:tcPr>
            <w:tcW w:type="dxa" w:w="12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 Standard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Regelfall</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Sachschaden, streitige Haftung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shd w:fill="FEF9E7"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Toleranzgrenze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Leichter Personenschaden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ggf.</w:t>
            </w:r>
          </w:p>
        </w:tc>
        <w:tc>
          <w:tcPr>
            <w:tcW w:type="dxa" w:w="1200"/>
            <w:tcBorders>
              <w:top w:val="single" w:color="999999" w:sz="1"/>
              <w:left w:val="single" w:color="999999" w:sz="1"/>
              <w:bottom w:val="single" w:color="999999" w:sz="1"/>
              <w:right w:val="single" w:color="999999" w:sz="1"/>
            </w:tcBorders>
            <w:shd w:fill="FEF9E7"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Umfang + Schwierigkeit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Schwerer Personenschaden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shd w:fill="FDEBD0"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Erheblich überdurchschn.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Sachschaden + Auslandsbezug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ggf.</w:t>
            </w:r>
          </w:p>
        </w:tc>
        <w:tc>
          <w:tcPr>
            <w:tcW w:type="dxa" w:w="1200"/>
            <w:tcBorders>
              <w:top w:val="single" w:color="999999" w:sz="1"/>
              <w:left w:val="single" w:color="999999" w:sz="1"/>
              <w:bottom w:val="single" w:color="999999" w:sz="1"/>
              <w:right w:val="single" w:color="999999" w:sz="1"/>
            </w:tcBorders>
            <w:shd w:fill="FDEBD0"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IPR + Auslandskorr.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Totalschaden / 130 %-Grenze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shd w:fill="FEF9E7"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ggf.</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Rechtl. Komplexität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Schwerstverl. / Todesfall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ggf.</w:t>
            </w:r>
          </w:p>
        </w:tc>
        <w:tc>
          <w:tcPr>
            <w:tcW w:type="dxa" w:w="1200"/>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Spitzengebühr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Personenschaden + Ausland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Kumulation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Langwierige Regulierung &gt;12 Mon.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w:t>
            </w:r>
          </w:p>
        </w:tc>
        <w:tc>
          <w:tcPr>
            <w:tcW w:type="dxa" w:w="1200"/>
            <w:tcBorders>
              <w:top w:val="single" w:color="999999" w:sz="1"/>
              <w:left w:val="single" w:color="999999" w:sz="1"/>
              <w:bottom w:val="single" w:color="999999" w:sz="1"/>
              <w:right w:val="single" w:color="999999" w:sz="1"/>
            </w:tcBorders>
            <w:shd w:fill="FDEBD0"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ggf.</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Extremer Umfang</w:t>
            </w:r>
          </w:p>
        </w:tc>
      </w:tr>
    </w:tbl>
    <w:p>
      <w:pPr>
        <w:spacing w:after="200" w:before="300"/>
      </w:pPr>
    </w:p>
    <w:p>
      <w:pPr>
        <w:pStyle w:val="Heading1"/>
      </w:pPr>
      <w:r>
        <w:t xml:space="preserve">V. Praxishinweise zur Durchsetzung</w:t>
      </w:r>
    </w:p>
    <w:p>
      <w:pPr>
        <w:pStyle w:val="ListParagraph"/>
        <w:numPr>
          <w:ilvl w:val="0"/>
          <w:numId w:val="2"/>
        </w:numPr>
      </w:pPr>
      <w:r>
        <w:rPr>
          <w:b/>
          <w:bCs/>
        </w:rPr>
        <w:t xml:space="preserve">Dokumentation von Anfang an: </w:t>
      </w:r>
      <w:r>
        <w:t xml:space="preserve">Zeiterfassung, Schriftverkehr und Komplexitätsmerkmale von Mandatsbeginn an dokumentieren. Dies erleichtert später die Begründung erheblich.</w:t>
      </w:r>
    </w:p>
    <w:p>
      <w:pPr>
        <w:pStyle w:val="ListParagraph"/>
        <w:numPr>
          <w:ilvl w:val="0"/>
          <w:numId w:val="2"/>
        </w:numPr>
      </w:pPr>
      <w:r>
        <w:rPr>
          <w:b/>
          <w:bCs/>
        </w:rPr>
        <w:t xml:space="preserve">Toleranzgrenze nutzen: </w:t>
      </w:r>
      <w:r>
        <w:t xml:space="preserve">Die 20-%-Toleranzgrenze (BGH VI ZR 273/11) ermöglicht den Ansatz einer 1,5-Gebühr mit minimalem Begründungsaufwand, wenn mindestens ein Merkmal über dem Durchschnitt liegt.</w:t>
      </w:r>
    </w:p>
    <w:p>
      <w:pPr>
        <w:pStyle w:val="ListParagraph"/>
        <w:numPr>
          <w:ilvl w:val="0"/>
          <w:numId w:val="2"/>
        </w:numPr>
      </w:pPr>
      <w:r>
        <w:rPr>
          <w:b/>
          <w:bCs/>
        </w:rPr>
        <w:t xml:space="preserve">Kumulation der Kriterien: </w:t>
      </w:r>
      <w:r>
        <w:t xml:space="preserve">Je mehr Kriterien des § 14 RVG erhöht sind (Umfang, Schwierigkeit, Bedeutung, Haftungsrisiko), desto höher kann die Gebühr angesetzt werden. Die Kumulation mehrerer erhöhender Umstände (z.B. Personenschaden + Auslandsbezug) rechtfertigt höhere Stufen.</w:t>
      </w:r>
    </w:p>
    <w:p>
      <w:pPr>
        <w:pStyle w:val="ListParagraph"/>
        <w:numPr>
          <w:ilvl w:val="0"/>
          <w:numId w:val="2"/>
        </w:numPr>
      </w:pPr>
      <w:r>
        <w:rPr>
          <w:b/>
          <w:bCs/>
        </w:rPr>
        <w:t xml:space="preserve">Gebührenmitteilung: </w:t>
      </w:r>
      <w:r>
        <w:t xml:space="preserve">Die Bestimmung der Gebühr muss dem Gegner gegenüber nachvollziehbar begründet werden. Eine substantiierte Gebührenmitteilung nach § 10 Abs. 1 RVG erleichtert die Durchsetzung.</w:t>
      </w:r>
    </w:p>
    <w:p>
      <w:pPr>
        <w:pStyle w:val="ListParagraph"/>
        <w:numPr>
          <w:ilvl w:val="0"/>
          <w:numId w:val="2"/>
        </w:numPr>
        <w:spacing w:after="200"/>
      </w:pPr>
      <w:r>
        <w:rPr>
          <w:b/>
          <w:bCs/>
        </w:rPr>
        <w:t xml:space="preserve">Vollständigkeit der Begründung: </w:t>
      </w:r>
      <w:r>
        <w:t xml:space="preserve">Bei Gebühren ab 1,8 empfiehlt sich eine detaillierte schriftliche Begründung unter Bezugnahme auf sämtliche Kriterien des § 14 RVG mit konkreten Angaben zu Zeitaufwand, Anzahl der Schriftsätze, medizinischen Unterlagen etc.</w:t>
      </w:r>
    </w:p>
    <w:p>
      <w:pPr>
        <w:pStyle w:val="Heading1"/>
      </w:pPr>
      <w:r>
        <w:t xml:space="preserve">VI. Zitierte Rechtsprechung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006"/>
      </w:tblGrid>
      <w:tr>
        <w:tc>
          <w:tcPr>
            <w:tcW w:type="dxa" w:w="3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Entscheidung</w:t>
            </w:r>
          </w:p>
        </w:tc>
        <w:tc>
          <w:tcPr>
            <w:tcW w:type="dxa" w:w="2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Gebühr</w:t>
            </w:r>
          </w:p>
        </w:tc>
        <w:tc>
          <w:tcPr>
            <w:tcW w:type="dxa" w:w="4006"/>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Kernaussage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BGH, 08.05.2012, VI ZR 273/11</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1,3 (+ 20 % Toleranz)</w:t>
            </w:r>
          </w:p>
        </w:tc>
        <w:tc>
          <w:tcPr>
            <w:tcW w:type="dxa" w:w="40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Toleranzgrenze 20 % für Rahmengebühren; 1,3 ist Regelgebühr bei durchschn. VU</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BGH, 11.07.2012, VIII ZR 323/11</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Toleranzgrenze</w:t>
            </w:r>
          </w:p>
        </w:tc>
        <w:tc>
          <w:tcPr>
            <w:tcW w:type="dxa" w:w="40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Bestätigung der 20-%-Toleranz; volle gerichtliche Überprüfbarkeit bei Überschreitung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BGH, 31.10.2006, VI ZR 261/05</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Erstattungsfähigkeit</w:t>
            </w:r>
          </w:p>
        </w:tc>
        <w:tc>
          <w:tcPr>
            <w:tcW w:type="dxa" w:w="40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Anwaltliche Regulierungskosten als Teil des Schadensersatzanspruchs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OLG Dresden, 06.12.2015, 7 U 1027/15</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1,8</w:t>
            </w:r>
          </w:p>
        </w:tc>
        <w:tc>
          <w:tcPr>
            <w:tcW w:type="dxa" w:w="40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1,8 bei Reparaturkosten über Wiederbeschaffungswert; überdurchschn. schwierig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AG Mannheim, 27.08.2008, 3 C 202/08</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2,5</w:t>
            </w:r>
          </w:p>
        </w:tc>
        <w:tc>
          <w:tcPr>
            <w:tcW w:type="dxa" w:w="40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Schwerstpersonenschaden mit Dauerschaden, Verfahrensdauer &gt;12 Monate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AG Kehl, 31.01.2007, 4 C 678/06</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1,5 – 1,8</w:t>
            </w:r>
          </w:p>
        </w:tc>
        <w:tc>
          <w:tcPr>
            <w:tcW w:type="dxa" w:w="40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Auslandsunfall; erhöhter Aufwand durch grenzüberschreitende Regulierung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AG Sinzig, 07.06.2007, 10 C 99/07</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1,5</w:t>
            </w:r>
          </w:p>
        </w:tc>
        <w:tc>
          <w:tcPr>
            <w:tcW w:type="dxa" w:w="40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Personenschaden mit erhöhtem Regulierungsaufwand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LG Saarbrücken, 25.09.2009, 13 S 68/09</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1,5</w:t>
            </w:r>
          </w:p>
        </w:tc>
        <w:tc>
          <w:tcPr>
            <w:tcW w:type="dxa" w:w="40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color w:val="000000"/>
                <w:sz w:val="20"/>
                <w:szCs w:val="20"/>
              </w:rPr>
              <w:t xml:space="preserve">Personenschaden; vertiefte Auseinandersetzung mit medizinischen Fragen</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Kanzleiinternes Arbeitsdokument – Geschäftsgebühr VV 2300 RVG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2026-04-05T15:39:58.308Z</dcterms:created>
  <dcterms:modified xsi:type="dcterms:W3CDTF">2026-04-05T15:39:58.308Z</dcterms:modified>
</cp:coreProperties>
</file>

<file path=docProps/custom.xml><?xml version="1.0" encoding="utf-8"?>
<Properties xmlns="http://schemas.openxmlformats.org/officeDocument/2006/custom-properties" xmlns:vt="http://schemas.openxmlformats.org/officeDocument/2006/docPropsVTypes"/>
</file>