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rPr>
          <w:rFonts w:ascii="Times New Roman" w:cs="Times New Roman" w:eastAsia="Times New Roman" w:hAnsi="Times New Roman"/>
          <w:b/>
          <w:bCs/>
          <w:color w:val="4A6FA5"/>
          <w:sz w:val="22"/>
          <w:szCs w:val="22"/>
        </w:rPr>
        <w:t xml:space="preserve">RECHERCHE ACTION</w:t>
      </w:r>
    </w:p>
    <w:p>
      <w:pPr>
        <w:spacing w:after="240"/>
        <w:jc w:val="center"/>
      </w:pPr>
      <w:r>
        <w:rPr>
          <w:rFonts w:ascii="Times New Roman" w:cs="Times New Roman" w:eastAsia="Times New Roman" w:hAnsi="Times New Roman"/>
          <w:b/>
          <w:bCs/>
          <w:color w:val="1B2A4A"/>
          <w:sz w:val="56"/>
          <w:szCs w:val="56"/>
        </w:rPr>
        <w:t xml:space="preserve">ROCHE HOLDING AG</w:t>
      </w:r>
    </w:p>
    <w:p>
      <w:pPr>
        <w:spacing w:after="480"/>
        <w:jc w:val="center"/>
      </w:pPr>
      <w:r>
        <w:rPr>
          <w:rFonts w:ascii="Times New Roman" w:cs="Times New Roman" w:eastAsia="Times New Roman" w:hAnsi="Times New Roman"/>
          <w:b/>
          <w:bCs/>
          <w:color w:val="4A6FA5"/>
          <w:sz w:val="32"/>
          <w:szCs w:val="32"/>
        </w:rPr>
        <w:t xml:space="preserve">Mise à jour des résultats Q1 2026</w:t>
      </w:r>
    </w:p>
    <w:p/>
    <w:p/>
    <w:p>
      <w:pPr>
        <w:spacing w:after="480"/>
        <w:jc w:val="center"/>
      </w:pPr>
      <w:r>
        <w:rPr>
          <w:rFonts w:ascii="Times New Roman" w:cs="Times New Roman" w:eastAsia="Times New Roman" w:hAnsi="Times New Roman"/>
          <w:b/>
          <w:bCs/>
          <w:color w:val="4A6FA5"/>
          <w:sz w:val="28"/>
          <w:szCs w:val="28"/>
        </w:rPr>
        <w:t xml:space="preserve">À CONSERVER | Objectif : CHF 280 | Prix : CHF 254,80 | Potentiel : +9,9%</w:t>
      </w:r>
    </w:p>
    <w:p>
      <w:r>
        <w:br w:type="page"/>
      </w:r>
    </w:p>
    <w:p>
      <w:pPr>
        <w:pStyle w:val="Heading1"/>
        <w:spacing w:after="360" w:before="480" w:line="480"/>
      </w:pPr>
      <w:r>
        <w:rPr>
          <w:rFonts w:ascii="Times New Roman" w:cs="Times New Roman" w:eastAsia="Times New Roman" w:hAnsi="Times New Roman"/>
          <w:b/>
          <w:bCs/>
          <w:color w:val="1B2A4A"/>
          <w:sz w:val="52"/>
          <w:szCs w:val="52"/>
        </w:rPr>
        <w:t xml:space="preserve">Résumé pour investisseurs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340"/>
            <w:tcBorders>
              <w:top w:val="single" w:color="CCCCCC" w:sz="6"/>
              <w:left w:val="single" w:color="CCCCCC" w:sz="6"/>
              <w:bottom w:val="single" w:color="CCCCCC" w:sz="6"/>
              <w:right w:val="single" w:color="CCCCCC" w:sz="6"/>
            </w:tcBorders>
            <w:shd w:fill="E9ECEF" w:val="clear"/>
            <w:tcMar>
              <w:top w:type="dxa" w:w="120"/>
              <w:left w:type="dxa" w:w="140"/>
              <w:bottom w:type="dxa" w:w="120"/>
              <w:right w:type="dxa" w:w="140"/>
            </w:tcMar>
          </w:tcPr>
          <w:p>
            <w:pPr>
              <w:jc w:val="left"/>
            </w:pPr>
            <w:r>
              <w:rPr>
                <w:rFonts w:ascii="Times New Roman" w:cs="Times New Roman" w:eastAsia="Times New Roman" w:hAnsi="Times New Roman"/>
                <w:b/>
                <w:bCs/>
                <w:sz w:val="22"/>
                <w:szCs w:val="22"/>
              </w:rPr>
              <w:t xml:space="preserve">Recommandation</w:t>
            </w:r>
          </w:p>
        </w:tc>
        <w:tc>
          <w:tcPr>
            <w:tcW w:type="dxa" w:w="2340"/>
            <w:tcBorders>
              <w:top w:val="single" w:color="CCCCCC" w:sz="6"/>
              <w:left w:val="single" w:color="CCCCCC" w:sz="6"/>
              <w:bottom w:val="single" w:color="CCCCCC" w:sz="6"/>
              <w:right w:val="single" w:color="CCCCCC" w:sz="6"/>
            </w:tcBorders>
            <w:shd w:fill="1B2A4A" w:val="clear"/>
            <w:tcMar>
              <w:top w:type="dxa" w:w="120"/>
              <w:left w:type="dxa" w:w="140"/>
              <w:bottom w:type="dxa" w:w="120"/>
              <w:right w:type="dxa" w:w="140"/>
            </w:tcMar>
            <w:vAlign w:val="center"/>
          </w:tcPr>
          <w:p>
            <w:pPr>
              <w:jc w:val="center"/>
            </w:pPr>
            <w:r>
              <w:rPr>
                <w:rFonts w:ascii="Times New Roman" w:cs="Times New Roman" w:eastAsia="Times New Roman" w:hAnsi="Times New Roman"/>
                <w:b/>
                <w:bCs/>
                <w:color w:val="FFFFFF"/>
                <w:sz w:val="22"/>
                <w:szCs w:val="22"/>
              </w:rPr>
              <w:t xml:space="preserve">À CONSERVER</w:t>
            </w:r>
          </w:p>
        </w:tc>
      </w:tr>
      <w:tr>
        <w:tc>
          <w:tcPr>
            <w:tcW w:type="dxa" w:w="2340"/>
            <w:tcBorders>
              <w:top w:val="single" w:color="CCCCCC" w:sz="6"/>
              <w:left w:val="single" w:color="CCCCCC" w:sz="6"/>
              <w:bottom w:val="single" w:color="CCCCCC" w:sz="6"/>
              <w:right w:val="single" w:color="CCCCCC" w:sz="6"/>
            </w:tcBorders>
            <w:shd w:fill="E9ECEF" w:val="clear"/>
            <w:tcMar>
              <w:top w:type="dxa" w:w="120"/>
              <w:left w:type="dxa" w:w="140"/>
              <w:bottom w:type="dxa" w:w="120"/>
              <w:right w:type="dxa" w:w="140"/>
            </w:tcMar>
          </w:tcPr>
          <w:p>
            <w:pPr>
              <w:jc w:val="left"/>
            </w:pPr>
            <w:r>
              <w:rPr>
                <w:rFonts w:ascii="Times New Roman" w:cs="Times New Roman" w:eastAsia="Times New Roman" w:hAnsi="Times New Roman"/>
                <w:b/>
                <w:bCs/>
                <w:sz w:val="22"/>
                <w:szCs w:val="22"/>
              </w:rPr>
              <w:t xml:space="preserve">Objectif de prix</w:t>
            </w:r>
          </w:p>
        </w:tc>
        <w:tc>
          <w:tcPr>
            <w:tcW w:type="dxa" w:w="2340"/>
            <w:tcBorders>
              <w:top w:val="single" w:color="CCCCCC" w:sz="6"/>
              <w:left w:val="single" w:color="CCCCCC" w:sz="6"/>
              <w:bottom w:val="single" w:color="CCCCCC" w:sz="6"/>
              <w:right w:val="single" w:color="CCCCCC" w:sz="6"/>
            </w:tcBorders>
            <w:shd w:fill="1B2A4A" w:val="clear"/>
            <w:tcMar>
              <w:top w:type="dxa" w:w="120"/>
              <w:left w:type="dxa" w:w="140"/>
              <w:bottom w:type="dxa" w:w="120"/>
              <w:right w:type="dxa" w:w="140"/>
            </w:tcMar>
            <w:vAlign w:val="center"/>
          </w:tcPr>
          <w:p>
            <w:pPr>
              <w:jc w:val="center"/>
            </w:pPr>
            <w:r>
              <w:rPr>
                <w:rFonts w:ascii="Times New Roman" w:cs="Times New Roman" w:eastAsia="Times New Roman" w:hAnsi="Times New Roman"/>
                <w:b/>
                <w:bCs/>
                <w:color w:val="FFFFFF"/>
                <w:sz w:val="22"/>
                <w:szCs w:val="22"/>
              </w:rPr>
              <w:t xml:space="preserve">CHF 280,00</w:t>
            </w:r>
          </w:p>
        </w:tc>
      </w:tr>
      <w:tr>
        <w:tc>
          <w:tcPr>
            <w:tcW w:type="dxa" w:w="2340"/>
            <w:tcBorders>
              <w:top w:val="single" w:color="CCCCCC" w:sz="6"/>
              <w:left w:val="single" w:color="CCCCCC" w:sz="6"/>
              <w:bottom w:val="single" w:color="CCCCCC" w:sz="6"/>
              <w:right w:val="single" w:color="CCCCCC" w:sz="6"/>
            </w:tcBorders>
            <w:shd w:fill="E9ECEF" w:val="clear"/>
            <w:tcMar>
              <w:top w:type="dxa" w:w="120"/>
              <w:left w:type="dxa" w:w="140"/>
              <w:bottom w:type="dxa" w:w="120"/>
              <w:right w:type="dxa" w:w="140"/>
            </w:tcMar>
          </w:tcPr>
          <w:p>
            <w:pPr>
              <w:jc w:val="left"/>
            </w:pPr>
            <w:r>
              <w:rPr>
                <w:rFonts w:ascii="Times New Roman" w:cs="Times New Roman" w:eastAsia="Times New Roman" w:hAnsi="Times New Roman"/>
                <w:b/>
                <w:bCs/>
                <w:sz w:val="22"/>
                <w:szCs w:val="22"/>
              </w:rPr>
              <w:t xml:space="preserve">Prix actuel</w:t>
            </w:r>
          </w:p>
        </w:tc>
        <w:tc>
          <w:tcPr>
            <w:tcW w:type="dxa" w:w="2340"/>
            <w:tcBorders>
              <w:top w:val="single" w:color="CCCCCC" w:sz="6"/>
              <w:left w:val="single" w:color="CCCCCC" w:sz="6"/>
              <w:bottom w:val="single" w:color="CCCCCC" w:sz="6"/>
              <w:right w:val="single" w:color="CCCCCC" w:sz="6"/>
            </w:tcBorders>
            <w:shd w:fill="1B2A4A" w:val="clear"/>
            <w:tcMar>
              <w:top w:type="dxa" w:w="120"/>
              <w:left w:type="dxa" w:w="140"/>
              <w:bottom w:type="dxa" w:w="120"/>
              <w:right w:type="dxa" w:w="140"/>
            </w:tcMar>
            <w:vAlign w:val="center"/>
          </w:tcPr>
          <w:p>
            <w:pPr>
              <w:jc w:val="center"/>
            </w:pPr>
            <w:r>
              <w:rPr>
                <w:rFonts w:ascii="Times New Roman" w:cs="Times New Roman" w:eastAsia="Times New Roman" w:hAnsi="Times New Roman"/>
                <w:b/>
                <w:bCs/>
                <w:color w:val="FFFFFF"/>
                <w:sz w:val="22"/>
                <w:szCs w:val="22"/>
              </w:rPr>
              <w:t xml:space="preserve">CHF 254,80</w:t>
            </w:r>
          </w:p>
        </w:tc>
      </w:tr>
      <w:tr>
        <w:tc>
          <w:tcPr>
            <w:tcW w:type="dxa" w:w="2340"/>
            <w:tcBorders>
              <w:top w:val="single" w:color="CCCCCC" w:sz="6"/>
              <w:left w:val="single" w:color="CCCCCC" w:sz="6"/>
              <w:bottom w:val="single" w:color="CCCCCC" w:sz="6"/>
              <w:right w:val="single" w:color="CCCCCC" w:sz="6"/>
            </w:tcBorders>
            <w:shd w:fill="E9ECEF" w:val="clear"/>
            <w:tcMar>
              <w:top w:type="dxa" w:w="120"/>
              <w:left w:type="dxa" w:w="140"/>
              <w:bottom w:type="dxa" w:w="120"/>
              <w:right w:type="dxa" w:w="140"/>
            </w:tcMar>
          </w:tcPr>
          <w:p>
            <w:pPr>
              <w:jc w:val="left"/>
            </w:pPr>
            <w:r>
              <w:rPr>
                <w:rFonts w:ascii="Times New Roman" w:cs="Times New Roman" w:eastAsia="Times New Roman" w:hAnsi="Times New Roman"/>
                <w:b/>
                <w:bCs/>
                <w:sz w:val="22"/>
                <w:szCs w:val="22"/>
              </w:rPr>
              <w:t xml:space="preserve">Potentiel</w:t>
            </w:r>
          </w:p>
        </w:tc>
        <w:tc>
          <w:tcPr>
            <w:tcW w:type="dxa" w:w="2340"/>
            <w:tcBorders>
              <w:top w:val="single" w:color="CCCCCC" w:sz="6"/>
              <w:left w:val="single" w:color="CCCCCC" w:sz="6"/>
              <w:bottom w:val="single" w:color="CCCCCC" w:sz="6"/>
              <w:right w:val="single" w:color="CCCCCC" w:sz="6"/>
            </w:tcBorders>
            <w:shd w:fill="1B2A4A" w:val="clear"/>
            <w:tcMar>
              <w:top w:type="dxa" w:w="120"/>
              <w:left w:type="dxa" w:w="140"/>
              <w:bottom w:type="dxa" w:w="120"/>
              <w:right w:type="dxa" w:w="140"/>
            </w:tcMar>
            <w:vAlign w:val="center"/>
          </w:tcPr>
          <w:p>
            <w:pPr>
              <w:jc w:val="center"/>
            </w:pPr>
            <w:r>
              <w:rPr>
                <w:rFonts w:ascii="Times New Roman" w:cs="Times New Roman" w:eastAsia="Times New Roman" w:hAnsi="Times New Roman"/>
                <w:b/>
                <w:bCs/>
                <w:color w:val="FFFFFF"/>
                <w:sz w:val="22"/>
                <w:szCs w:val="22"/>
              </w:rPr>
              <w:t xml:space="preserve">9,9 %</w:t>
            </w:r>
          </w:p>
        </w:tc>
      </w:tr>
    </w:tbl>
    <w:p/>
    <w:p>
      <w:pPr>
        <w:spacing w:after="120"/>
      </w:pPr>
    </w:p>
    <w:p>
      <w:pPr>
        <w:pStyle w:val="Heading2"/>
        <w:spacing w:after="240" w:before="360" w:line="480"/>
      </w:pPr>
      <w:r>
        <w:rPr>
          <w:rFonts w:ascii="Times New Roman" w:cs="Times New Roman" w:eastAsia="Times New Roman" w:hAnsi="Times New Roman"/>
          <w:b/>
          <w:bCs/>
          <w:color w:val="1B2A4A"/>
          <w:sz w:val="40"/>
          <w:szCs w:val="40"/>
        </w:rPr>
        <w:t xml:space="preserve">Points clés</w:t>
      </w:r>
    </w:p>
    <w:p>
      <w:pPr>
        <w:spacing w:after="120"/>
      </w:pPr>
    </w:p>
    <w:p>
      <w:pPr>
        <w:spacing w:after="240" w:line="400" w:lineRule="auto"/>
        <w:jc w:val="left"/>
      </w:pPr>
      <w:r>
        <w:rPr>
          <w:rFonts w:ascii="Times New Roman" w:cs="Times New Roman" w:eastAsia="Times New Roman" w:hAnsi="Times New Roman"/>
          <w:color w:val="6C757D"/>
          <w:sz w:val="24"/>
          <w:szCs w:val="24"/>
        </w:rPr>
        <w:t xml:space="preserve">Le Q1 dépasse le consensus (+6,0 % en taux constant vs +5,2 % attendu), la division Pharma entraînant la dynamique (+7 % vs +6,3 % consensus). Les vents de change restent importants (-11 pdb). Les orientations 2026 sont maintenues. Le pipeline offre CHF 5,9 mrd d'opportunités, partiellement compensées par CHF 1,0 mrd d'impact biosimilaire.</w:t>
      </w:r>
    </w:p>
    <w:p>
      <w:pPr>
        <w:spacing w:after="120"/>
      </w:pPr>
    </w:p>
    <w:p>
      <w:r>
        <w:br w:type="page"/>
      </w:r>
    </w:p>
    <w:p>
      <w:pPr>
        <w:pStyle w:val="Heading1"/>
        <w:spacing w:after="360" w:before="480" w:line="480"/>
      </w:pPr>
      <w:r>
        <w:rPr>
          <w:rFonts w:ascii="Times New Roman" w:cs="Times New Roman" w:eastAsia="Times New Roman" w:hAnsi="Times New Roman"/>
          <w:b/>
          <w:bCs/>
          <w:color w:val="1B2A4A"/>
          <w:sz w:val="52"/>
          <w:szCs w:val="52"/>
        </w:rPr>
        <w:t xml:space="preserve">Analyse des résultats</w:t>
      </w:r>
    </w:p>
    <w:p>
      <w:pPr>
        <w:spacing w:after="120"/>
      </w:pPr>
    </w:p>
    <w:p>
      <w:pPr>
        <w:pStyle w:val="Heading2"/>
        <w:spacing w:after="240" w:before="360" w:line="480"/>
      </w:pPr>
      <w:r>
        <w:rPr>
          <w:rFonts w:ascii="Times New Roman" w:cs="Times New Roman" w:eastAsia="Times New Roman" w:hAnsi="Times New Roman"/>
          <w:b/>
          <w:bCs/>
          <w:color w:val="1B2A4A"/>
          <w:sz w:val="40"/>
          <w:szCs w:val="40"/>
        </w:rPr>
        <w:t xml:space="preserve">Dépassement du consensus</w:t>
      </w:r>
    </w:p>
    <w:p>
      <w:pPr>
        <w:spacing w:after="120"/>
      </w:pPr>
    </w:p>
    <w:p>
      <w:pPr>
        <w:spacing w:after="240" w:line="400" w:lineRule="auto"/>
        <w:jc w:val="left"/>
      </w:pPr>
      <w:r>
        <w:rPr>
          <w:rFonts w:ascii="Times New Roman" w:cs="Times New Roman" w:eastAsia="Times New Roman" w:hAnsi="Times New Roman"/>
          <w:color w:val="6C757D"/>
          <w:sz w:val="24"/>
          <w:szCs w:val="24"/>
        </w:rPr>
        <w:t xml:space="preserve">Roche a enregistré une croissance des ventes de 6,0 % en taux de change constant au Q1 2026, dépassant le consensus de 5,2 % de +80 pdb. La performance Pharma de +7,0 % (consensus +6,3 %) a été menée par des taux de croissance exceptionnels, notamment Xolair +26,0 %.</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Croissance trimestrielle des ventes en taux de change constant</w:t>
      </w:r>
    </w:p>
    <w:p>
      <w:pPr>
        <w:pStyle w:val="Heading2"/>
        <w:spacing w:after="240" w:before="360" w:line="480"/>
      </w:pPr>
      <w:r>
        <w:rPr>
          <w:rFonts w:ascii="Times New Roman" w:cs="Times New Roman" w:eastAsia="Times New Roman" w:hAnsi="Times New Roman"/>
          <w:b/>
          <w:bCs/>
          <w:color w:val="1B2A4A"/>
          <w:sz w:val="40"/>
          <w:szCs w:val="40"/>
        </w:rPr>
        <w:t xml:space="preserve">Performance des divisions</w:t>
      </w:r>
    </w:p>
    <w:p>
      <w:pPr>
        <w:spacing w:after="120"/>
      </w:pPr>
    </w:p>
    <w:p>
      <w:pPr>
        <w:spacing w:after="240" w:line="400" w:lineRule="auto"/>
        <w:jc w:val="left"/>
      </w:pPr>
      <w:r>
        <w:rPr>
          <w:rFonts w:ascii="Times New Roman" w:cs="Times New Roman" w:eastAsia="Times New Roman" w:hAnsi="Times New Roman"/>
          <w:color w:val="6C757D"/>
          <w:sz w:val="24"/>
          <w:szCs w:val="24"/>
        </w:rPr>
        <w:t xml:space="preserve">La division Pharma (+7,0 %) a surpassé Diagnostics (+3,0 %). Au sein de Pharma, l'oncologie-hématologie (40 % des ventes) a augmenté de +8,0 %, soutenue par le cancer du sein, du poumon et l'hémophilie. L'immunologie a augmenté de +5,0 % et les soins de spécialité de +3,5 %. La croissance de Xolair de +26,0 % reflète une forte adoption, bien que le biosimilaire soit attendu au H2 2026.</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Performance des divisions - Q1 2026</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Impact des devises sur la croissance</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Taux de croissance des principaux produits</w:t>
      </w:r>
    </w:p>
    <w:p>
      <w:r>
        <w:br w:type="page"/>
      </w:r>
    </w:p>
    <w:p>
      <w:pPr>
        <w:pStyle w:val="Heading1"/>
        <w:spacing w:after="360" w:before="480" w:line="480"/>
      </w:pPr>
      <w:r>
        <w:rPr>
          <w:rFonts w:ascii="Times New Roman" w:cs="Times New Roman" w:eastAsia="Times New Roman" w:hAnsi="Times New Roman"/>
          <w:b/>
          <w:bCs/>
          <w:color w:val="1B2A4A"/>
          <w:sz w:val="52"/>
          <w:szCs w:val="52"/>
        </w:rPr>
        <w:t xml:space="preserve">Perspectives 2026</w:t>
      </w:r>
    </w:p>
    <w:p>
      <w:pPr>
        <w:spacing w:after="120"/>
      </w:pPr>
    </w:p>
    <w:p>
      <w:pPr>
        <w:pStyle w:val="Heading2"/>
        <w:spacing w:after="240" w:before="360" w:line="480"/>
      </w:pPr>
      <w:r>
        <w:rPr>
          <w:rFonts w:ascii="Times New Roman" w:cs="Times New Roman" w:eastAsia="Times New Roman" w:hAnsi="Times New Roman"/>
          <w:b/>
          <w:bCs/>
          <w:color w:val="1B2A4A"/>
          <w:sz w:val="40"/>
          <w:szCs w:val="40"/>
        </w:rPr>
        <w:t xml:space="preserve">Orientations maintenues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340"/>
            <w:tcBorders>
              <w:top w:val="single" w:color="CCCCCC" w:sz="6"/>
              <w:left w:val="single" w:color="CCCCCC" w:sz="6"/>
              <w:bottom w:val="single" w:color="CCCCCC" w:sz="6"/>
              <w:right w:val="single" w:color="CCCCCC" w:sz="6"/>
            </w:tcBorders>
            <w:shd w:fill="E9ECEF" w:val="clear"/>
            <w:tcMar>
              <w:top w:type="dxa" w:w="120"/>
              <w:left w:type="dxa" w:w="140"/>
              <w:bottom w:type="dxa" w:w="120"/>
              <w:right w:type="dxa" w:w="140"/>
            </w:tcMar>
          </w:tcPr>
          <w:p>
            <w:pPr>
              <w:jc w:val="left"/>
            </w:pPr>
            <w:r>
              <w:rPr>
                <w:rFonts w:ascii="Times New Roman" w:cs="Times New Roman" w:eastAsia="Times New Roman" w:hAnsi="Times New Roman"/>
                <w:b/>
                <w:bCs/>
                <w:sz w:val="22"/>
                <w:szCs w:val="22"/>
              </w:rPr>
              <w:t xml:space="preserve">Métrique</w:t>
            </w:r>
          </w:p>
        </w:tc>
        <w:tc>
          <w:tcPr>
            <w:tcW w:type="dxa" w:w="2340"/>
            <w:tcBorders>
              <w:top w:val="single" w:color="CCCCCC" w:sz="6"/>
              <w:left w:val="single" w:color="CCCCCC" w:sz="6"/>
              <w:bottom w:val="single" w:color="CCCCCC" w:sz="6"/>
              <w:right w:val="single" w:color="CCCCCC" w:sz="6"/>
            </w:tcBorders>
            <w:shd w:fill="1B2A4A" w:val="clear"/>
            <w:tcMar>
              <w:top w:type="dxa" w:w="120"/>
              <w:left w:type="dxa" w:w="140"/>
              <w:bottom w:type="dxa" w:w="120"/>
              <w:right w:type="dxa" w:w="140"/>
            </w:tcMar>
            <w:vAlign w:val="center"/>
          </w:tcPr>
          <w:p>
            <w:pPr>
              <w:jc w:val="center"/>
            </w:pPr>
            <w:r>
              <w:rPr>
                <w:rFonts w:ascii="Times New Roman" w:cs="Times New Roman" w:eastAsia="Times New Roman" w:hAnsi="Times New Roman"/>
                <w:b/>
                <w:bCs/>
                <w:color w:val="FFFFFF"/>
                <w:sz w:val="22"/>
                <w:szCs w:val="22"/>
              </w:rPr>
              <w:t xml:space="preserve">Orientation 2026</w:t>
            </w:r>
          </w:p>
        </w:tc>
      </w:tr>
      <w:tr>
        <w:tc>
          <w:tcPr>
            <w:tcW w:type="dxa" w:w="2340"/>
            <w:tcBorders>
              <w:top w:val="single" w:color="CCCCCC" w:sz="6"/>
              <w:left w:val="single" w:color="CCCCCC" w:sz="6"/>
              <w:bottom w:val="single" w:color="CCCCCC" w:sz="6"/>
              <w:right w:val="single" w:color="CCCCCC" w:sz="6"/>
            </w:tcBorders>
            <w:shd w:fill="E9ECEF" w:val="clear"/>
            <w:tcMar>
              <w:top w:type="dxa" w:w="120"/>
              <w:left w:type="dxa" w:w="140"/>
              <w:bottom w:type="dxa" w:w="120"/>
              <w:right w:type="dxa" w:w="140"/>
            </w:tcMar>
          </w:tcPr>
          <w:p>
            <w:pPr>
              <w:jc w:val="left"/>
            </w:pPr>
            <w:r>
              <w:rPr>
                <w:rFonts w:ascii="Times New Roman" w:cs="Times New Roman" w:eastAsia="Times New Roman" w:hAnsi="Times New Roman"/>
                <w:b/>
                <w:bCs/>
                <w:sz w:val="22"/>
                <w:szCs w:val="22"/>
              </w:rPr>
              <w:t xml:space="preserve">Croissance des ventes</w:t>
            </w:r>
          </w:p>
        </w:tc>
        <w:tc>
          <w:tcPr>
            <w:tcW w:type="dxa" w:w="2340"/>
            <w:tcBorders>
              <w:top w:val="single" w:color="CCCCCC" w:sz="6"/>
              <w:left w:val="single" w:color="CCCCCC" w:sz="6"/>
              <w:bottom w:val="single" w:color="CCCCCC" w:sz="6"/>
              <w:right w:val="single" w:color="CCCCCC" w:sz="6"/>
            </w:tcBorders>
            <w:tcMar>
              <w:top w:type="dxa" w:w="120"/>
              <w:left w:type="dxa" w:w="140"/>
              <w:bottom w:type="dxa" w:w="120"/>
              <w:right w:type="dxa" w:w="140"/>
            </w:tcMar>
            <w:vAlign w:val="center"/>
          </w:tcPr>
          <w:p>
            <w:pPr>
              <w:jc w:val="right"/>
            </w:pPr>
            <w:r>
              <w:rPr>
                <w:rFonts w:ascii="Times New Roman" w:cs="Times New Roman" w:eastAsia="Times New Roman" w:hAnsi="Times New Roman"/>
                <w:b w:val="false"/>
                <w:bCs w:val="false"/>
                <w:color w:val="000000"/>
                <w:sz w:val="22"/>
                <w:szCs w:val="22"/>
              </w:rPr>
              <w:t xml:space="preserve">Chiffre moyen</w:t>
            </w:r>
          </w:p>
        </w:tc>
      </w:tr>
      <w:tr>
        <w:tc>
          <w:tcPr>
            <w:tcW w:type="dxa" w:w="2340"/>
            <w:tcBorders>
              <w:top w:val="single" w:color="CCCCCC" w:sz="6"/>
              <w:left w:val="single" w:color="CCCCCC" w:sz="6"/>
              <w:bottom w:val="single" w:color="CCCCCC" w:sz="6"/>
              <w:right w:val="single" w:color="CCCCCC" w:sz="6"/>
            </w:tcBorders>
            <w:shd w:fill="E9ECEF" w:val="clear"/>
            <w:tcMar>
              <w:top w:type="dxa" w:w="120"/>
              <w:left w:type="dxa" w:w="140"/>
              <w:bottom w:type="dxa" w:w="120"/>
              <w:right w:type="dxa" w:w="140"/>
            </w:tcMar>
          </w:tcPr>
          <w:p>
            <w:pPr>
              <w:jc w:val="left"/>
            </w:pPr>
            <w:r>
              <w:rPr>
                <w:rFonts w:ascii="Times New Roman" w:cs="Times New Roman" w:eastAsia="Times New Roman" w:hAnsi="Times New Roman"/>
                <w:b/>
                <w:bCs/>
                <w:sz w:val="22"/>
                <w:szCs w:val="22"/>
              </w:rPr>
              <w:t xml:space="preserve">Croissance du résultat par action</w:t>
            </w:r>
          </w:p>
        </w:tc>
        <w:tc>
          <w:tcPr>
            <w:tcW w:type="dxa" w:w="2340"/>
            <w:tcBorders>
              <w:top w:val="single" w:color="CCCCCC" w:sz="6"/>
              <w:left w:val="single" w:color="CCCCCC" w:sz="6"/>
              <w:bottom w:val="single" w:color="CCCCCC" w:sz="6"/>
              <w:right w:val="single" w:color="CCCCCC" w:sz="6"/>
            </w:tcBorders>
            <w:tcMar>
              <w:top w:type="dxa" w:w="120"/>
              <w:left w:type="dxa" w:w="140"/>
              <w:bottom w:type="dxa" w:w="120"/>
              <w:right w:type="dxa" w:w="140"/>
            </w:tcMar>
            <w:vAlign w:val="center"/>
          </w:tcPr>
          <w:p>
            <w:pPr>
              <w:jc w:val="right"/>
            </w:pPr>
            <w:r>
              <w:rPr>
                <w:rFonts w:ascii="Times New Roman" w:cs="Times New Roman" w:eastAsia="Times New Roman" w:hAnsi="Times New Roman"/>
                <w:b w:val="false"/>
                <w:bCs w:val="false"/>
                <w:color w:val="000000"/>
                <w:sz w:val="22"/>
                <w:szCs w:val="22"/>
              </w:rPr>
              <w:t xml:space="preserve">Chiffre élevé</w:t>
            </w:r>
          </w:p>
        </w:tc>
      </w:tr>
    </w:tbl>
    <w:p>
      <w:pPr>
        <w:spacing w:after="120"/>
      </w:pPr>
    </w:p>
    <w:p>
      <w:pPr>
        <w:spacing w:after="240" w:line="400" w:lineRule="auto"/>
        <w:jc w:val="left"/>
      </w:pPr>
      <w:r>
        <w:rPr>
          <w:rFonts w:ascii="Times New Roman" w:cs="Times New Roman" w:eastAsia="Times New Roman" w:hAnsi="Times New Roman"/>
          <w:color w:val="6C757D"/>
          <w:sz w:val="24"/>
          <w:szCs w:val="24"/>
        </w:rPr>
        <w:t xml:space="preserve">Malgré la concurrence biosimilaire et la volatilité des devises, Roche a maintenu ses orientations 2026 : croissance organique à un chiffre moyen et croissance du résultat par action en francs constant à un chiffre élevé.</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Orientations 2026 maintenues</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Impact de la perte d'exclusivité par molécule</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Estimations de consensus 2026</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Opportunité de pipeline</w:t>
      </w:r>
    </w:p>
    <w:p>
      <w:r>
        <w:br w:type="page"/>
      </w:r>
    </w:p>
    <w:p>
      <w:pPr>
        <w:pStyle w:val="Heading1"/>
        <w:spacing w:after="360" w:before="480" w:line="480"/>
      </w:pPr>
      <w:r>
        <w:rPr>
          <w:rFonts w:ascii="Times New Roman" w:cs="Times New Roman" w:eastAsia="Times New Roman" w:hAnsi="Times New Roman"/>
          <w:b/>
          <w:bCs/>
          <w:color w:val="1B2A4A"/>
          <w:sz w:val="52"/>
          <w:szCs w:val="52"/>
        </w:rPr>
        <w:t xml:space="preserve">Analyse d'investissement</w:t>
      </w:r>
    </w:p>
    <w:p>
      <w:pPr>
        <w:spacing w:after="120"/>
      </w:pPr>
    </w:p>
    <w:p>
      <w:pPr>
        <w:pStyle w:val="Heading2"/>
        <w:spacing w:after="240" w:before="360" w:line="480"/>
      </w:pPr>
      <w:r>
        <w:rPr>
          <w:rFonts w:ascii="Times New Roman" w:cs="Times New Roman" w:eastAsia="Times New Roman" w:hAnsi="Times New Roman"/>
          <w:b/>
          <w:bCs/>
          <w:color w:val="1B2A4A"/>
          <w:sz w:val="40"/>
          <w:szCs w:val="40"/>
        </w:rPr>
        <w:t xml:space="preserve">Cas haussier (CHF 300+)</w:t>
      </w:r>
    </w:p>
    <w:p>
      <w:pPr>
        <w:spacing w:after="120"/>
      </w:pPr>
    </w:p>
    <w:p>
      <w:pPr>
        <w:spacing w:after="240" w:line="400" w:lineRule="auto"/>
        <w:jc w:val="left"/>
      </w:pPr>
      <w:r>
        <w:rPr>
          <w:rFonts w:ascii="Times New Roman" w:cs="Times New Roman" w:eastAsia="Times New Roman" w:hAnsi="Times New Roman"/>
          <w:color w:val="6C757D"/>
          <w:sz w:val="24"/>
          <w:szCs w:val="24"/>
        </w:rPr>
        <w:t xml:space="preserve">Le dépassement du Q1 et la réaffirmation des orientations démontrent la résilience opérationnelle. La croissance pharma est réelle (+7 %) avec une oncologie solide (+8 %) et des succès inattendus comme Xolair (+26 %). Le pipeline de CHF 5,9 mrd (giredestrant, fenebrutinib, Gazyvaro) offre un potentiel matériel. À 12,9x P/E à terme (sous la moyenne historique de 14-15x), une réévaluation vers 14-15x P/E soutendrait CHF 295-320, impliquant +16-25 % de potentiel.</w:t>
      </w:r>
    </w:p>
    <w:p>
      <w:pPr>
        <w:spacing w:after="120"/>
      </w:pPr>
    </w:p>
    <w:p>
      <w:pPr>
        <w:pStyle w:val="Heading2"/>
        <w:spacing w:after="240" w:before="360" w:line="480"/>
      </w:pPr>
      <w:r>
        <w:rPr>
          <w:rFonts w:ascii="Times New Roman" w:cs="Times New Roman" w:eastAsia="Times New Roman" w:hAnsi="Times New Roman"/>
          <w:b/>
          <w:bCs/>
          <w:color w:val="1B2A4A"/>
          <w:sz w:val="40"/>
          <w:szCs w:val="40"/>
        </w:rPr>
        <w:t xml:space="preserve">Cas baissier (CHF 220)</w:t>
      </w:r>
    </w:p>
    <w:p>
      <w:pPr>
        <w:spacing w:after="120"/>
      </w:pPr>
    </w:p>
    <w:p>
      <w:pPr>
        <w:spacing w:after="240" w:line="400" w:lineRule="auto"/>
        <w:jc w:val="left"/>
      </w:pPr>
      <w:r>
        <w:rPr>
          <w:rFonts w:ascii="Times New Roman" w:cs="Times New Roman" w:eastAsia="Times New Roman" w:hAnsi="Times New Roman"/>
          <w:color w:val="6C757D"/>
          <w:sz w:val="24"/>
          <w:szCs w:val="24"/>
        </w:rPr>
        <w:t xml:space="preserve">L'impact CHF 1 mrd de perte d'exclusivité est réel. Si le pipeline glisse ou que les devises restent persistamment fortes, la croissance organique pourrait rater le chiffre moyen. Le biosimilaire de Xolair au H2 pourrait être plus agressif. Une récession frappant le marché américain (&gt;60 % des ventes) combinée à une compression de multiple vers 11-12x P/E pourrait entraîner CHF 220-240.</w:t>
      </w:r>
    </w:p>
    <w:p>
      <w:pPr>
        <w:spacing w:after="120"/>
      </w:pPr>
    </w:p>
    <w:p>
      <w:pPr>
        <w:pStyle w:val="Heading2"/>
        <w:spacing w:after="240" w:before="360" w:line="480"/>
      </w:pPr>
      <w:r>
        <w:rPr>
          <w:rFonts w:ascii="Times New Roman" w:cs="Times New Roman" w:eastAsia="Times New Roman" w:hAnsi="Times New Roman"/>
          <w:b/>
          <w:bCs/>
          <w:color w:val="1B2A4A"/>
          <w:sz w:val="40"/>
          <w:szCs w:val="40"/>
        </w:rPr>
        <w:t xml:space="preserve">Cas de base (À CONSERVER)</w:t>
      </w:r>
    </w:p>
    <w:p>
      <w:pPr>
        <w:spacing w:after="120"/>
      </w:pPr>
    </w:p>
    <w:p>
      <w:pPr>
        <w:spacing w:after="240" w:line="400" w:lineRule="auto"/>
        <w:jc w:val="left"/>
      </w:pPr>
      <w:r>
        <w:rPr>
          <w:rFonts w:ascii="Times New Roman" w:cs="Times New Roman" w:eastAsia="Times New Roman" w:hAnsi="Times New Roman"/>
          <w:color w:val="6C757D"/>
          <w:sz w:val="24"/>
          <w:szCs w:val="24"/>
        </w:rPr>
        <w:t xml:space="preserve">Croissance organique de 3,5-4,0 % en 2026, l'impact biosimilaire CHF 1 mrd compensé par le pipeline et la stabilisation des devises. Croissance du résultat par action de 6,5-7,5 %. Multiple vers 13,2-13,5x P/E, impliquant CHF 275-290, reflétant un risque d'exécution équilibré.</w:t>
      </w:r>
    </w:p>
    <w:p>
      <w:pPr>
        <w:spacing w:after="120"/>
      </w:pPr>
    </w:p>
    <w:p>
      <w:r>
        <w:br w:type="page"/>
      </w: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Défis versus opportunités 2026</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Évolution de la marge de résultat</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Ventes en francs suisses</w:t>
      </w:r>
    </w:p>
    <w:p>
      <w:pPr>
        <w:spacing w:after="120"/>
      </w:pPr>
    </w:p>
    <w:p>
      <w:pPr>
        <w:spacing w:after="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19500"/>
                    </a:xfrm>
                    <a:prstGeom prst="rect">
                      <a:avLst/>
                    </a:prstGeom>
                  </pic:spPr>
                </pic:pic>
              </a:graphicData>
            </a:graphic>
          </wp:inline>
        </w:drawing>
      </w:r>
    </w:p>
    <w:p>
      <w:pPr>
        <w:spacing w:after="360" w:before="180"/>
        <w:jc w:val="center"/>
      </w:pPr>
      <w:r>
        <w:rPr>
          <w:rFonts w:ascii="Times New Roman" w:cs="Times New Roman" w:eastAsia="Times New Roman" w:hAnsi="Times New Roman"/>
          <w:color w:val="6C757D"/>
          <w:sz w:val="20"/>
          <w:szCs w:val="20"/>
        </w:rPr>
        <w:t xml:space="preserve">Réaction du cours (+2,3 % post-résultats)</w:t>
      </w:r>
    </w:p>
    <w:p>
      <w:r>
        <w:br w:type="page"/>
      </w:r>
    </w:p>
    <w:p>
      <w:pPr>
        <w:pStyle w:val="Heading1"/>
        <w:spacing w:after="360" w:before="480" w:line="480"/>
      </w:pPr>
      <w:r>
        <w:rPr>
          <w:rFonts w:ascii="Times New Roman" w:cs="Times New Roman" w:eastAsia="Times New Roman" w:hAnsi="Times New Roman"/>
          <w:b/>
          <w:bCs/>
          <w:color w:val="1B2A4A"/>
          <w:sz w:val="52"/>
          <w:szCs w:val="52"/>
        </w:rPr>
        <w:t xml:space="preserve">Conclusion</w:t>
      </w:r>
    </w:p>
    <w:p>
      <w:pPr>
        <w:spacing w:after="120"/>
      </w:pPr>
    </w:p>
    <w:p>
      <w:pPr>
        <w:spacing w:after="240" w:line="400" w:lineRule="auto"/>
        <w:jc w:val="left"/>
      </w:pPr>
      <w:r>
        <w:rPr>
          <w:rFonts w:ascii="Times New Roman" w:cs="Times New Roman" w:eastAsia="Times New Roman" w:hAnsi="Times New Roman"/>
          <w:color w:val="6C757D"/>
          <w:sz w:val="24"/>
          <w:szCs w:val="24"/>
        </w:rPr>
        <w:t xml:space="preserve">Roche démontre une résilience opérationnelle solide malgré l'environnement macroéconomique difficile. Le dépassement du consensus, la croissance pharma-led et la réaffirmation des orientations supportent une perspective positive à moyen terme. Cependant, la transition biosimilaire reste un frein matériel à court terme, et la force persistante du franc suisse pose un risque significatif.</w:t>
      </w:r>
    </w:p>
    <w:p>
      <w:pPr>
        <w:spacing w:after="240" w:line="400" w:lineRule="auto"/>
        <w:jc w:val="left"/>
      </w:pPr>
      <w:r>
        <w:rPr>
          <w:rFonts w:ascii="Times New Roman" w:cs="Times New Roman" w:eastAsia="Times New Roman" w:hAnsi="Times New Roman"/>
          <w:color w:val="6C757D"/>
          <w:sz w:val="24"/>
          <w:szCs w:val="24"/>
        </w:rPr>
        <w:t xml:space="preserve">La valorisation à 12,9x P/E à terme offre une marge de sécurité confortable. Nous maintenons notre recommandation À CONSERVER avec un objectif de prix de CHF 280, impliquant +9,9 % de potentiel à partir des niveaux actuels. Nous préférons la patience et la sélection des points d'entrée jusqu'à la clarification du pipeline et de la dynamique biosimilaire au H2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360" w:before="480" w:line="480"/>
      <w:outlineLvl w:val="0"/>
    </w:pPr>
    <w:rPr>
      <w:rFonts w:ascii="Times New Roman" w:cs="Times New Roman" w:eastAsia="Times New Roman" w:hAnsi="Times New Roman"/>
      <w:b/>
      <w:bCs/>
      <w:color w:val="1B2A4A"/>
      <w:sz w:val="52"/>
      <w:szCs w:val="52"/>
    </w:rPr>
  </w:style>
  <w:style w:type="paragraph" w:styleId="Heading2">
    <w:name w:val="Heading 2"/>
    <w:basedOn w:val="Normal"/>
    <w:next w:val="Normal"/>
    <w:pPr>
      <w:spacing w:after="240" w:before="360" w:line="480"/>
      <w:outlineLvl w:val="1"/>
    </w:pPr>
    <w:rPr>
      <w:rFonts w:ascii="Times New Roman" w:cs="Times New Roman" w:eastAsia="Times New Roman" w:hAnsi="Times New Roman"/>
      <w:b/>
      <w:bCs/>
      <w:color w:val="1B2A4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a79d06f5c33a612aa059bce00293cdba3dc4c6.png"/><Relationship Id="rId8" Type="http://schemas.openxmlformats.org/officeDocument/2006/relationships/image" Target="media/718f48d59d09320d4bf1eabaaad60a958f80c806.png"/><Relationship Id="rId9" Type="http://schemas.openxmlformats.org/officeDocument/2006/relationships/image" Target="media/ec506b713961e45403c24ad2f34f7ed89aa5c60d.png"/><Relationship Id="rId10" Type="http://schemas.openxmlformats.org/officeDocument/2006/relationships/image" Target="media/3d53acf3dc93ad38a2149c1b6654dcfc90ad873a.png"/><Relationship Id="rId11" Type="http://schemas.openxmlformats.org/officeDocument/2006/relationships/image" Target="media/c1f1beec60f92fc470b8305b78bad7cc2cc2e1d1.png"/><Relationship Id="rId12" Type="http://schemas.openxmlformats.org/officeDocument/2006/relationships/image" Target="media/bda0e605fac005d034d6c4a021d9ee8e9f5fee8d.png"/><Relationship Id="rId13" Type="http://schemas.openxmlformats.org/officeDocument/2006/relationships/image" Target="media/c7f861f4a3c6b196497df39cf86f296ae0654d32.png"/><Relationship Id="rId14" Type="http://schemas.openxmlformats.org/officeDocument/2006/relationships/image" Target="media/031bd134f4cc75896ea8a0473e26167f89988726.png"/><Relationship Id="rId15" Type="http://schemas.openxmlformats.org/officeDocument/2006/relationships/image" Target="media/c625e90346ae6fb17427c0e4a9ddbf56976af412.png"/><Relationship Id="rId16" Type="http://schemas.openxmlformats.org/officeDocument/2006/relationships/image" Target="media/239d08a7986d5957682c9d0adecd4c4742bca2a0.png"/><Relationship Id="rId17" Type="http://schemas.openxmlformats.org/officeDocument/2006/relationships/image" Target="media/be35f23b1b1244da63e65f169ac4a1d989dc349d.png"/><Relationship Id="rId18" Type="http://schemas.openxmlformats.org/officeDocument/2006/relationships/image" Target="media/453837c15ee9b6cd9b67edddbba06f1618f95c8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2026-06-04T19:30:20.371Z</dcterms:created>
  <dcterms:modified xsi:type="dcterms:W3CDTF">2026-06-04T19:30:20.371Z</dcterms:modified>
</cp:coreProperties>
</file>

<file path=docProps/custom.xml><?xml version="1.0" encoding="utf-8"?>
<Properties xmlns="http://schemas.openxmlformats.org/officeDocument/2006/custom-properties" xmlns:vt="http://schemas.openxmlformats.org/officeDocument/2006/docPropsVTypes"/>
</file>