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-pfooter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rPr>
          <w:rFonts w:ascii="Times new roman" w:hAnsi="Times new roman" w:eastAsia="Times new roman" w:cs="Times new roman"/>
          <w:color w:val="000000"/>
          <w:sz w:val="30"/>
        </w:rPr>
      </w:pPr>
      <w:r>
        <w:t/>
      </w:r>
      <w:r>
        <w:t xml:space="preserve"/>
      </w:r>
      <w:r>
        <w:rPr>
          <w:rFonts w:ascii="Times new roman" w:hAnsi="Times new roman" w:eastAsia="Times new roman" w:cs="Times new roman"/>
          <w:color w:val="000000"/>
          <w:sz w:val="30"/>
        </w:rPr>
        <w:t xml:space="preserve">Abbreviations</w:t>
      </w:r>
    </w:p>
    <w:tbl>
      <w:tblPr>
        <w:tblStyle w:val="TableGrid"/>
        <w:tblW w:w="0" w:type="auto"/>
      </w:tblPr>
      <w:tblGrid>
        <w:gridCol w:w="4513"/>
        <w:gridCol w:w="4513"/>
      </w:tblGrid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BFBFBF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b w:val="true"/>
                <w:color w:val="000000"/>
                <w:sz w:val="20"/>
              </w:rPr>
              <w:t xml:space="preserve">Abbreviations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BFBFBF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b w:val="true"/>
                <w:color w:val="000000"/>
                <w:sz w:val="20"/>
              </w:rPr>
              <w:t xml:space="preserve">Meaning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AUC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area under the curve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CABG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coronary artery bypass grafting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CTO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chronic total occlusion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EF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ejection fraction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FDG PET/CT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18F-fluorodeoxyglucose positron emission tomography/computed tomography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HEC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hyperinsulinemic euglycemic clamp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IQR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inter-quartile range (25th to 75th percentile)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LAD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left anterior descendent artery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LCx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left circumflex artery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MGU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myocardial glucose uptake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PCI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percutaneous coronary intervention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RCA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right coronary artery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ROC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receiver operator curve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SD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standard deviation</w:t>
            </w:r>
          </w:p>
        </w:tc>
      </w:tr>
    </w:tbl>
    <w:p>
      <w:r>
        <w:t/>
      </w:r>
    </w:p>
    <w:p>
      <w:pPr>
        <w:sectPr>
          <w:footerReference w:type="default" r:id="rId3"/>
          <w:pgSz w:w="11907" w:h="16839" w:code="9"/>
          <w:pgMar w:top="1440" w:right="1440" w:bottom="1440" w:left="1440"/>
          <w:pgNumType w:fmt="decimal"/>
        </w:sectPr>
      </w:pPr>
    </w:p>
    <w:p>
      <w:pPr>
        <w:pStyle w:val="Heading1"/>
        <w:rPr>
          <w:rFonts w:ascii="Times new roman" w:hAnsi="Times new roman" w:eastAsia="Times new roman" w:cs="Times new roman"/>
          <w:color w:val="000000"/>
          <w:sz w:val="30"/>
        </w:rPr>
      </w:pPr>
      <w:r>
        <w:t/>
      </w:r>
      <w:r>
        <w:t xml:space="preserve"/>
      </w:r>
      <w:r>
        <w:rPr>
          <w:rFonts w:ascii="Times new roman" w:hAnsi="Times new roman" w:eastAsia="Times new roman" w:cs="Times new roman"/>
          <w:color w:val="000000"/>
          <w:sz w:val="30"/>
        </w:rPr>
        <w:t xml:space="preserve">Figures</w:t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6"/>
        </w:rPr>
      </w:pPr>
      <w:r>
        <w:t/>
      </w:r>
      <w:r>
        <w:t xml:space="preserve"/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Figure 1 - Patient flow diagram</w:t>
      </w:r>
    </w:p>
    <w:p>
      <w:pPr>
        <w:jc w:val="center"/>
      </w:pPr>
      <w:r>
        <w:t/>
      </w:r>
      <w:r>
        <w:drawing>
          <wp:inline distT="0" distB="0" distL="0" distR="0">
            <wp:extent cx="4072255" cy="45720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/>
          <w:sz w:val="20"/>
        </w:rPr>
      </w:pPr>
      <w:r>
        <w:t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Abbreviations: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FDG PET/CT, 18F-fluorodeoxyglucose positron emission tomography/computed tomography. </w:t>
        <w:br w:type="textWrapping"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Notes: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Flow diagram showing the inclusion of patients from the 131 who were referred to the Department of Nuclear Medicine &amp; PET-Centre to undergo cardiac viability PET/CT.</w:t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6"/>
        </w:rPr>
      </w:pPr>
      <w:r>
        <w:t/>
      </w:r>
      <w:r>
        <w:t xml:space="preserve"/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Figure 2 - Example of a dynamic cardiac PET scan</w:t>
      </w:r>
    </w:p>
    <w:p>
      <w:pPr>
        <w:jc w:val="center"/>
      </w:pPr>
      <w:r>
        <w:t/>
      </w:r>
      <w:r>
        <w:drawing>
          <wp:inline distT="0" distB="0" distL="0" distR="0">
            <wp:extent cx="5732145" cy="429895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/>
          <w:sz w:val="20"/>
        </w:rPr>
      </w:pPr>
      <w:r>
        <w:t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Notes: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Insert footnotes.</w:t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6"/>
        </w:rPr>
      </w:pPr>
      <w:r>
        <w:t/>
      </w:r>
      <w:r>
        <w:t xml:space="preserve"/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Figure 3 - ROC curves of pre-intervention dynamic (MGU), static (hibernation), and perfusion PET measures for predicting LVEF-improvement of 5% or above</w:t>
      </w:r>
    </w:p>
    <w:p>
      <w:pPr>
        <w:jc w:val="center"/>
      </w:pPr>
      <w:r>
        <w:t/>
      </w:r>
      <w:r>
        <w:drawing>
          <wp:inline distT="0" distB="0" distL="0" distR="0">
            <wp:extent cx="5732145" cy="5732145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/>
          <w:sz w:val="20"/>
        </w:rPr>
      </w:pPr>
      <w:r>
        <w:t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Abbreviations: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EF, ejection fraction; HEC, hyperinsulinemic euglycemic clamp; MGU, myocardial glucose uptake; ROC, receiver operator curve. </w:t>
        <w:br w:type="textWrapping"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Notes: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* † ‡ See table 1 footnotes.</w:t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6"/>
        </w:rPr>
      </w:pPr>
      <w:r>
        <w:t/>
      </w:r>
      <w:r>
        <w:t xml:space="preserve"/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Figure 4 - Hibernating tissue and survival</w:t>
      </w:r>
    </w:p>
    <w:p>
      <w:pPr>
        <w:jc w:val="center"/>
      </w:pPr>
      <w:r>
        <w:t/>
      </w:r>
      <w:r>
        <w:drawing>
          <wp:inline distT="0" distB="0" distL="0" distR="0">
            <wp:extent cx="5732145" cy="8134869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1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/>
          <w:sz w:val="20"/>
        </w:rPr>
      </w:pPr>
      <w:r>
        <w:t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Notes: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Kaplan-Meier survival curves by hibernation % (above versus below median) for the included patients who underwent intervention (a) and for all patients (b). Follow-up started at date of intervention (a) and date of PET scan (b), respectively. Number of patients at risk are shown below each figure. </w:t>
      </w:r>
    </w:p>
    <w:p>
      <w:pPr>
        <w:sectPr>
          <w:footerReference w:type="default" r:id="rId3"/>
          <w:pgSz w:w="11907" w:h="16839" w:code="9"/>
          <w:pgMar w:top="1440" w:right="1440" w:bottom="1440" w:left="1440"/>
          <w:pgNumType w:fmt="decimal"/>
        </w:sectPr>
      </w:pPr>
    </w:p>
    <w:p>
      <w:pPr>
        <w:pStyle w:val="Heading1"/>
        <w:rPr>
          <w:rFonts w:ascii="Times new roman" w:hAnsi="Times new roman" w:eastAsia="Times new roman" w:cs="Times new roman"/>
          <w:color w:val="000000"/>
          <w:sz w:val="30"/>
        </w:rPr>
      </w:pPr>
      <w:r>
        <w:t/>
      </w:r>
      <w:r>
        <w:t xml:space="preserve"/>
      </w:r>
      <w:r>
        <w:rPr>
          <w:rFonts w:ascii="Times new roman" w:hAnsi="Times new roman" w:eastAsia="Times new roman" w:cs="Times new roman"/>
          <w:color w:val="000000"/>
          <w:sz w:val="30"/>
        </w:rPr>
        <w:t xml:space="preserve">Tables</w:t>
      </w:r>
    </w:p>
    <w:p>
      <w:pPr>
        <w:pStyle w:val="Heading2"/>
        <w:rPr>
          <w:rFonts w:ascii="Times new roman" w:hAnsi="Times new roman" w:eastAsia="Times new roman" w:cs="Times new roman"/>
          <w:color w:val="000000"/>
          <w:sz w:val="26"/>
        </w:rPr>
      </w:pPr>
      <w:r>
        <w:t/>
      </w:r>
      <w:r>
        <w:t xml:space="preserve"/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Table 1 - Baseline patient characteristics</w:t>
      </w:r>
    </w:p>
    <w:tbl>
      <w:tblPr>
        <w:tblStyle w:val="TableGrid"/>
        <w:tblW w:w="0" w:type="auto"/>
      </w:tblPr>
      <w:tblGrid>
        <w:gridCol w:w="4513"/>
        <w:gridCol w:w="4513"/>
      </w:tblGrid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BFBFBF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b w:val="true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BFBFBF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  <w:color w:val="000000"/>
                <w:sz w:val="20"/>
              </w:rPr>
              <w:t xml:space="preserve">Total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Patients, 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44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Patient characteristics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Age in years, mean (SD)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64.9 (8.9)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Sex, n (%)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Male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39 (88.6)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Female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5 (11.4)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Diabetes status, n (%)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Diabetes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13 (29.5)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No diabetes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31 (70.5)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BMI in kg/m2, median (range)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26.7 (19.4-51.5)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P-glucose during HEC in mM, median (range)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5.1 (3.9-7.0)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Glucose infusion rate during HEC in mg/kg/min, median (range)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3.7 (1.0-7.2)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Cardiac status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Ejection-fraction on echocardiography in %, mean (SD)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Before intervention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30.8 (9.8)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After intervention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36.4 (10.9)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Types of intervention, n (%)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PCI without CTO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21 (47.7)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PCI with CTO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16 (36.4)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CABG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7 (15.9)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Area of intervention, n (%)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LAD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9 (20.5)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LCx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8 (18.2)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RCA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7 (15.9)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Multiple areas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20 (45.5)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PET measurements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Scar tissue in %, median (range)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14.0 (1.0-54.0)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Hibernating tissue, median (range)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Overall in 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2.0 (0.0-21.0)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Area of intervention in n hibernating segments 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0.0 (0.0-5.0)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Coronary flow reserve, median (range)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Overall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1.7 (0.9-3.5)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Area of intervention †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1.6 (0.8-3.2)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Myocardial glucose uptake during in µmol/min/100g tissue, median (range)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Overall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27.4 (9.7-48.9)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Remote area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33.8 (11.7-64.9)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Area of intervention ‡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27.9 (8.5-44.5)</w:t>
            </w:r>
          </w:p>
        </w:tc>
      </w:tr>
    </w:tbl>
    <w:p>
      <w:r>
        <w:t/>
      </w:r>
    </w:p>
    <w:p>
      <w:pPr>
        <w:rPr>
          <w:rFonts w:ascii="Times new roman" w:hAnsi="Times new roman" w:eastAsia="Times new roman" w:cs="Times new roman"/>
          <w:color w:val="000000"/>
          <w:sz w:val="20"/>
        </w:rPr>
      </w:pPr>
      <w:r>
        <w:t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Abbreviations: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CABG, coronary artery bypass grafting; CTO, chronic total occlusion; HEC, hyperinsulinemic euglycemic clamp; LAD, left anterior descendent artery; LCx, left circumflex artery; PCI, percutaneous coronary intervention; RCA, right coronary artery; SD, standard deviation. </w:t>
        <w:br w:type="textWrapping"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Notes: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Values are shown as mean (SD), n (%) or median (range). * Number of segments in area of intervention (up to 17) with at least 10% hibernating tissue divided by the number of coronary arteries intervened upon. Example: 3 hibernating segments in LAD + 1 in RCA / 2 arteries = 2. † Average coronary flow reserve across the area(s) of intervention. ‡ Average myocardial glucose uptake across area(s) of intervention.</w:t>
      </w:r>
    </w:p>
    <w:p>
      <w:pPr>
        <w:sectPr>
          <w:footerReference w:type="default" r:id="rId3"/>
          <w:pgSz w:w="11907" w:h="16839" w:code="9"/>
          <w:pgMar w:top="1440" w:right="1440" w:bottom="1440" w:left="1440"/>
          <w:pgNumType w:fmt="decimal"/>
        </w:sectPr>
      </w:pPr>
    </w:p>
    <w:p>
      <w:pPr>
        <w:pStyle w:val="Heading2"/>
        <w:rPr>
          <w:rFonts w:ascii="Times new roman" w:hAnsi="Times new roman" w:eastAsia="Times new roman" w:cs="Times new roman"/>
          <w:color w:val="000000"/>
          <w:sz w:val="26"/>
        </w:rPr>
      </w:pPr>
      <w:r>
        <w:t/>
      </w:r>
      <w:r>
        <w:t xml:space="preserve"/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Table 2 - Patient characteristics stratified by LVEF-improvement after revascularizatiion intervention</w:t>
      </w:r>
    </w:p>
    <w:tbl>
      <w:tblPr>
        <w:tblStyle w:val="TableGrid"/>
        <w:tblW w:w="0" w:type="auto"/>
      </w:tblPr>
      <w:tblGrid>
        <w:gridCol w:w="2256"/>
        <w:gridCol w:w="2256"/>
        <w:gridCol w:w="2256"/>
        <w:gridCol w:w="2256"/>
      </w:tblGrid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BFBFBF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b w:val="true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BFBFBF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  <w:color w:val="000000"/>
                <w:sz w:val="20"/>
              </w:rPr>
              <w:t xml:space="preserve">EF not improved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BFBFBF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  <w:color w:val="000000"/>
                <w:sz w:val="20"/>
              </w:rPr>
              <w:t xml:space="preserve">EF improved 5% or more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BFBFBF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b w:val="true"/>
                <w:color w:val="000000"/>
                <w:sz w:val="20"/>
              </w:rPr>
              <w:t xml:space="preserve">P-value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Patients, 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Patient characteristics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Age in years, mean (SD)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61.8 (7.3)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67.1 (9.4)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0.05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Sex, n (%)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Male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16 (88.9)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23 (88.5)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&gt;0.99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Female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 (11.1)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 (11.5)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Diabetes status, n (%)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Diabetes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6 (33.3)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7 (26.9)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No diabetes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12 (66.7)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19 (73.1)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BMI in kg/m2, median (range)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26.6 (21.1-51.5)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26.7 (19.4-39.3)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&gt;0.99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P-glucose during HEC in mM, median (range)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5.0 (4.3-7.0)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5.2 (3.9-6.3)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0.38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Glucose infusion rate during HEC in mg/kg/min, median (range)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3.4 (1.0-7.1)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3.8 (2.1-7.2)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0.21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Cardiac status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Ejection-fraction on echocardiography in %, mean (SD)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Before intervention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31.9 (10.2)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30.0 (9.7)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After intervention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31.1 (10.9)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40.0 (9.5)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0.006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Types of intervention, n (%)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PCI without CTO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9 (50.0)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12 (46.2)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&gt;0.99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PCI with CTO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6 (33.3)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10 (38.5)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CABG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 (16.7)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4 (15.4)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Area of intervention, n (%)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LAD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4 (22.2)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5 (19.2)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0.21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LCx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5 (27.8)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 (11.5)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RCA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4 (22.2)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 (11.5)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Multiple areas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5 (27.8)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15 (57.7)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PET measurements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shd w:val="clear" w:color="000000" w:fill="D9D9D9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Scar tissue in %, median (range)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13.5 (2.0-54.0)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14.5 (1.0-49.0)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0.99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Hibernating tissue, median (range)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Overall in 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4.5 (0.0-21.0)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1.5 (0.0-21.0)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Area of intervention in n hibernating segments 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1.0 (0.0-5.0)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0.0 (0.0-5.0)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Coronary flow reserve, median (range)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Overall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1.7 (0.9-2.5)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1.6 (0.9-3.5)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0.84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Area of intervention †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1.5 (0.8-3.0)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1.6 (0.8-3.2)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Myocardial glucose uptake during in µmol/min/100g tissue, median (range)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Overall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28.0 (9.7-42.3)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27.4 (10.4-48.9)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0.75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Remote area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34.5 (11.7-54.6)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32.8 (17.6-64.9)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0.90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- Area of intervention ‡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32.6 (10.2-44.5)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27.4 (8.5-44.2)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0.79</w:t>
            </w:r>
          </w:p>
        </w:tc>
      </w:tr>
    </w:tbl>
    <w:p>
      <w:r>
        <w:t/>
      </w:r>
    </w:p>
    <w:p>
      <w:pPr>
        <w:rPr>
          <w:rFonts w:ascii="Times new roman" w:hAnsi="Times new roman" w:eastAsia="Times new roman" w:cs="Times new roman"/>
          <w:color w:val="000000"/>
          <w:sz w:val="20"/>
        </w:rPr>
      </w:pPr>
      <w:r>
        <w:t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Abbreviations: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CABG, coronary artery bypass grafting; CTO, chronic total occlusion; HEC, hyperinsulinemic euglycemic clamp; LAD, left anterior descendent artery; LCx, left circumflex artery; PCI, percutaneous coronary intervention; RCA, right coronary artery; SD, standard deviation. </w:t>
        <w:br w:type="textWrapping"/>
      </w:r>
      <w:r>
        <w:rPr>
          <w:rFonts w:ascii="Times new roman" w:hAnsi="Times new roman" w:eastAsia="Times new roman" w:cs="Times new roman"/>
          <w:b w:val="true"/>
          <w:color w:val="000000"/>
          <w:sz w:val="20"/>
        </w:rPr>
        <w:t xml:space="preserve">Notes: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P-values for differences were calculated using Fisher's exact test (sex, diabetes, type of intervention, and area of intervention), Student's t-test (age and ejection-fraction), and Wilcoxon rank-sum test (remaining variables). * † ‡ See table 1 footnotes.</w:t>
      </w:r>
    </w:p>
    <w:sectPr>
      <w:footerReference w:type="default" r:id="rId3"/>
      <w:pgSz w:w="11907" w:h="16839" w:code="9"/>
      <w:pgMar w:top="1440" w:right="1440" w:bottom="1440" w:left="1440"/>
      <w:pgNumType w:fmt="decimal"/>
    </w:sectPr>
  </w:body>
</w:document>
</file>

<file path=word/footer-p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p>
    <w:r>
      <w:t/>
    </w:r>
    <w:r>
      <w:t xml:space="preserve">Page </w:t>
    </w:r>
    <w:r>
      <w:rPr>
        <w:b w:val="true"/>
      </w:rPr>
      <w:fldChar w:fldCharType="begin"/>
      <w:instrText xml:space="preserve"> PAGE \* MERGEFORMAT </w:instrText>
      <w:fldChar w:fldCharType="end"/>
    </w:r>
    <w:r>
      <w:t xml:space="preserve"> of </w:t>
    </w:r>
    <w:r>
      <w:rPr>
        <w:b w:val="true"/>
      </w:rPr>
      <w:fldChar w:fldCharType="begin"/>
      <w:instrText xml:space="preserve"> NUMPAGES \* MERGEFORMAT </w:instrText>
      <w:fldChar w:fldCharType="end"/>
    </w:r>
  </w:p>
</w:ft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-pfooter.xml" Type="http://schemas.openxmlformats.org/officeDocument/2006/relationships/footer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    <Relationship Target="media/document_image_rId6.png" Type="http://schemas.openxmlformats.org/officeDocument/2006/relationships/image" Id="rId6"/>
    <Relationship Target="media/document_image_rId7.png" Type="http://schemas.openxmlformats.org/officeDocument/2006/relationships/image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