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-pfooter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Abbreviations</w:t>
      </w:r>
    </w:p>
    <w:tbl>
      <w:tblPr>
        <w:tblStyle w:val="TableGrid"/>
        <w:tblW w:w="0" w:type="auto"/>
      </w:tblPr>
      <w:tblGrid>
        <w:gridCol w:w="4513"/>
        <w:gridCol w:w="4513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Abbreviations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Meaning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AUC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under the curve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artery bypass grafting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chronic total occlusion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EF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 fraction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FDG PET/CT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18F-fluorodeoxyglucose positron emission tomography/computed tomography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HEC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hyperinsulinemic euglycemic clamp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IQR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inter-quartile range (25th to 75th percentile)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left anterior descendent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left circumflex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MGU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PCI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percutaneous coronary intervention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right coronary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receiver operator curve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standard deviation</w:t>
            </w:r>
          </w:p>
        </w:tc>
      </w:tr>
    </w:tbl>
    <w:p>
      <w:r>
        <w:t/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Figures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1 - Patient flow diagram</w:t>
      </w:r>
    </w:p>
    <w:p>
      <w:pPr>
        <w:jc w:val="center"/>
      </w:pPr>
      <w:r>
        <w:t/>
      </w:r>
      <w:r>
        <w:drawing>
          <wp:inline distT="0" distB="0" distL="0" distR="0">
            <wp:extent cx="4072255" cy="4572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FDG PET/CT, 18F-fluorodeoxyglucose positron emission tomography/computed tomography.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Flow diagram showing the inclusion of patients from the 131 who were referred to the Department of Nuclear Medicine &amp; PET-Centre to undergo cardiac viability PET/CT.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2 - Example of a dynamic cardiac PET scan</w:t>
      </w:r>
    </w:p>
    <w:p>
      <w:pPr>
        <w:jc w:val="center"/>
      </w:pPr>
      <w:r>
        <w:t/>
      </w:r>
      <w:r>
        <w:drawing>
          <wp:inline distT="0" distB="0" distL="0" distR="0">
            <wp:extent cx="5732145" cy="42989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Insert footnotes.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3 - ROC curves of pre-intervention dynamic (MGU), static (hibernation), and perfusion PET measures for predicting LVEF-improvement of 5% or above</w:t>
      </w:r>
    </w:p>
    <w:p>
      <w:pPr>
        <w:jc w:val="center"/>
      </w:pPr>
      <w:r>
        <w:t/>
      </w:r>
      <w:r>
        <w:drawing>
          <wp:inline distT="0" distB="0" distL="0" distR="0">
            <wp:extent cx="5732145" cy="573214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EF, ejection fraction; HEC, hyperinsulinemic euglycemic clamp; MGU, myocardial glucose uptake; ROC, receiver operator curve.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* # § See table 1 footnotes.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4 - Hibernating tissue and survival</w:t>
      </w:r>
    </w:p>
    <w:p>
      <w:pPr>
        <w:jc w:val="center"/>
      </w:pPr>
      <w:r>
        <w:t/>
      </w:r>
      <w:r>
        <w:drawing>
          <wp:inline distT="0" distB="0" distL="0" distR="0">
            <wp:extent cx="5732145" cy="813486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Kaplan-Meier survival curves by hibernation % (above versus below median) for the included patients who underwent intervention (A) and for all patients (B). Follow-up started at date of intervention (A) and date of PET scan (B), respectively. Number of patients at risk are shown below each figure. </w:t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Tables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Table 1 - Baseline patient characteristics</w:t>
      </w:r>
    </w:p>
    <w:tbl>
      <w:tblPr>
        <w:tblStyle w:val="TableGrid"/>
        <w:tblW w:w="0" w:type="auto"/>
      </w:tblPr>
      <w:tblGrid>
        <w:gridCol w:w="4513"/>
        <w:gridCol w:w="4513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Total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Patients, 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 characteristics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Age in years,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64.9 (8.9)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Sex,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39 (88.6)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(11.4)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Diabetes status,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13 (29.5)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No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 (70.5)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BMI in kg/m2,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26.7 (24.5-30.3)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P-glucose during HEC in mM,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5.1 (4.8-5.3)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Glucose infusion rate during HEC in mg/kg/min,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3.7 (2.6-4.8)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Cardiac status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Ejection-fraction on echocardiography in %,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Before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30.8 (9.8)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After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36.4 (10.9)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Types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without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21 (47.7)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16 (36.4)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(15.9)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9 (20.5)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8 (18.2)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(15.9)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Multiple areas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20 (45.5)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PET measurements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Scar tissue in %,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14.0 (6.5-20.5)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Hibernating tissue,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 in 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2.0 (0.0-8.0)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in n hibernating segments 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 (0.0-2.0)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flow reserve,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1.7 (1.3-2.1)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#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(1.2-2.1)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 during in µmol/min/100g tissue,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(17.7-36.7)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Remote area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33.8 (21.6-40.8)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§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27.9 (18.8-35.8)</w:t>
            </w:r>
          </w:p>
        </w:tc>
      </w:tr>
    </w:tbl>
    <w:p>
      <w:r>
        <w:t/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CABG, coronary artery bypass grafting; CTO, chronic total occlusion; HEC, hyperinsulinemic euglycemic clamp; IQR, inter-quartile range (25th to 75th percentile); LAD, left anterior descendent artery; LCx, left circumflex artery; PCI, percutaneous coronary intervention; RCA, right coronary artery; SD, standard deviation.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Values are shown as mean (SD), n (%) or median (IQR range 25th to 75th percentile). * Number of segments in area of intervention (up to 17) with at least 10% hibernating tissue divided by the number of coronary arteries intervened upon. Example: 3 hibernating segments in LAD + 1 in RCA / 2 arteries = 2. # Average coronary flow reserve across the area(s) of intervention. § Average myocardial glucose uptake across area(s) of intervention.</w:t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Table 2 - Patient characteristics stratified by LVEF-improvement after revascularizatiion intervention</w:t>
      </w:r>
    </w:p>
    <w:tbl>
      <w:tblPr>
        <w:tblStyle w:val="TableGrid"/>
        <w:tblW w:w="0" w:type="auto"/>
      </w:tblPr>
      <w:tblGrid>
        <w:gridCol w:w="2256"/>
        <w:gridCol w:w="2256"/>
        <w:gridCol w:w="2256"/>
        <w:gridCol w:w="2256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EF not improved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EF improved 5% or more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Patients, 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 characteristics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Age in years,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61.8 (7.3)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67.1 (9.4)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Sex,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16 (88.9)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23 (88.5)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 (11.1)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Diabetes status,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 (33.3)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(26.9)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No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12 (66.7)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19 (73.1)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BMI in kg/m2,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26.6 (23.5-32.3)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26.7 (25.4-29.5)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P-glucose during HEC in mM,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5.0 (4.8-5.2)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5.2 (4.9-5.3)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0.38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Glucose infusion rate during HEC in mg/kg/min,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3.4 (2.0-4.4)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3.8 (2.8-4.9)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Cardiac status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Ejection-fraction on echocardiography in %,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Before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31.9 (10.2)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30.0 (9.7)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After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31.1 (10.9)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40.0 (9.5)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0.006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Types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without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9 (50.0)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12 (46.2)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 (33.3)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10 (38.5)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(16.7)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(15.4)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(22.2)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(19.2)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(27.8)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(22.2)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Multiple areas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(27.8)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15 (57.7)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PET measurements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Scar tissue in %,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13.5 (7.0-21.0)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14.5 (6.0-20.0)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Hibernating tissue,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 in 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4.5 (1.0-9.0)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1.5 (0.0-6.0)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in n hibernating segments 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1.0 (0.0-2.3)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 (0.0-1.5)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flow reserve,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1.7 (1.4-2.0)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(1.2-2.2)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0.84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#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1.5 (1.1-1.8)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(1.2-2.2)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 during in µmol/min/100g tissue,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28.0 (16.6-37.3)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(18.8-33.7)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Remote area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34.5 (20.8-41.1)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32.8 (21.8-38.3)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0.90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§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32.6 (14.2-36.2)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(19.2-35.5)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0.79</w:t>
            </w:r>
          </w:p>
        </w:tc>
      </w:tr>
    </w:tbl>
    <w:p>
      <w:r>
        <w:t/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CABG, coronary artery bypass grafting; CTO, chronic total occlusion; HEC, hyperinsulinemic euglycemic clamp; IQR, inter-quartile range (25th to 75th percentile); LAD, left anterior descendent artery; LCx, left circumflex artery; PCI, percutaneous coronary intervention; RCA, right coronary artery; SD, standard deviation.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P-values for differences were calculated using Fisher's exact test (sex, diabetes, type of intervention, and area of intervention), Student's t-test (age and ejection-fraction), and Wilcoxon rank-sum test (remaining variables). * # § See table 1 footnotes.</w:t>
      </w:r>
    </w:p>
    <w:sectPr>
      <w:footerReference w:type="default" r:id="rId3"/>
      <w:pgSz w:w="11907" w:h="16839" w:code="9"/>
      <w:pgMar w:top="1440" w:right="1440" w:bottom="1440" w:left="1440"/>
      <w:pgNumType w:fmt="decimal"/>
    </w:sectPr>
  </w:body>
</w:document>
</file>

<file path=word/footer-pfooter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r>
      <w:t/>
    </w:r>
    <w:r>
      <w:t xml:space="preserve">Page </w:t>
    </w:r>
    <w:r>
      <w:rPr>
        <w:b w:val="true"/>
      </w:rPr>
      <w:fldChar w:fldCharType="begin"/>
      <w:instrText xml:space="preserve"> PAGE \* MERGEFORMAT </w:instrText>
      <w:fldChar w:fldCharType="end"/>
    </w:r>
    <w:r>
      <w:t xml:space="preserve"> of </w:t>
    </w:r>
    <w:r>
      <w:rPr>
        <w:b w:val="true"/>
      </w:rPr>
      <w:fldChar w:fldCharType="begin"/>
      <w:instrText xml:space="preserve"> NUMPAGES \* MERGEFORMAT </w:instrText>
      <w:fldChar w:fldCharType="end"/>
    </w:r>
  </w:p>
</w:ft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-pfooter.xml" Type="http://schemas.openxmlformats.org/officeDocument/2006/relationships/footer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