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pfooter.xml"/>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rPr>
          <w:rFonts w:ascii="Times new roman" w:hAnsi="Times new roman" w:eastAsia="Times new roman" w:cs="Times new roman"/>
          <w:color w:val="000000"/>
          <w:sz w:val="30"/>
        </w:rPr>
      </w:pPr>
      <w:r>
        <w:t/>
      </w:r>
      <w:r>
        <w:t xml:space="preserve"/>
      </w:r>
      <w:r>
        <w:rPr>
          <w:rFonts w:ascii="Times new roman" w:hAnsi="Times new roman" w:eastAsia="Times new roman" w:cs="Times new roman"/>
          <w:color w:val="000000"/>
          <w:sz w:val="30"/>
        </w:rPr>
        <w:t xml:space="preserve">Results of various analyses not presented in the paper</w:t>
      </w: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Patient characteristics stratified for diabetes status</w:t>
      </w:r>
    </w:p>
    <w:tbl>
      <w:tblPr>
        <w:tblStyle w:val="TableGrid"/>
        <w:tblW w:w="0" w:type="auto"/>
      </w:tblPr>
      <w:tblGrid>
        <w:gridCol w:w="3009"/>
        <w:gridCol w:w="3009"/>
        <w:gridCol w:w="3009"/>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Diabetes</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No diabetes</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Patients, 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Age in years,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65.3 (10.0)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64.7 (8.6)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(76.9)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 (93.5)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Female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(6.5)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BMI in kg/m2,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(19.4-35.7)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26.7 (19.6-51.5)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P-glucose during HEC in mM,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5.3 (3.9-7.0)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5.1 (4.3-6.0)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Glucose infusion rate during HEC in mg/kg/min,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 (1.0-7.2)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 (1.2-7.1)</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Ejection-fraction on echocardiography in %, mean (SD)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Before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28.8 (5.8)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31.6 (11.1)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After intervention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34.2 (8.1)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37.3 (11.9)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Types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without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(23.1)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18 (58.1)</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PCI with CTO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(46.2)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(32.3)</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CABG</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 (30.8)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 (9.7)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 (22.6)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 (15.4)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 (7.7)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6 (19.4)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8 (61.5)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12 (38.7)</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PET measurements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Scar tissue in %,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11.0 (2.0-49.0)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15.0 (1.0-54.0)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Hibernating tissue,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 in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4.0 (0.0-21.0)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2.0 (0.0-21.0)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in n hibernating segments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 (0.0-5.0)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0.0 (0.0-4.5)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Coronary flow reserve,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1.6 (1.1-2.5)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(0.9-3.5)</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1.3 (0.8-2.2)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1.7 (0.9-3.2)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Myocardial glucose uptake during in µmol/min/100g tissue, median (range)</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25.6 (9.7-42.3)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29.4 (10.4-48.9)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Remote area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29.2 (11.7-44.7)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34.4 (17.6-64.9)</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Area of intervention ‡</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27.3 (9.6-44.5)</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28.1 (8.5-44.2)</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CABG, coronary artery bypass grafting; CTO, chronic total occlusion; HEC, hyperinsulinemic euglycemic clamp; LAD, left anterior descendent artery; LCx, left circumflex artery; PCI, percutaneous coronary intervention; RCA, right coronary artery; SD, standard deviation.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Prespecified analysis. Not presented in paper as it did not add any new insights. * † ‡ See table 1 footnotes in manuscript.</w:t>
      </w:r>
    </w:p>
    <w:p>
      <w:pPr>
        <w:sectPr>
          <w:footerReference w:type="default" r:id="rId3"/>
          <w:pgSz w:w="11907" w:h="16839"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AUC sensitivity analysis stratified by patient characteristics</w:t>
      </w:r>
    </w:p>
    <w:tbl>
      <w:tblPr>
        <w:tblStyle w:val="TableGrid"/>
        <w:tblW w:w="0" w:type="auto"/>
      </w:tblPr>
      <w:tblGrid>
        <w:gridCol w:w="1395"/>
        <w:gridCol w:w="1395"/>
        <w:gridCol w:w="1395"/>
        <w:gridCol w:w="1395"/>
        <w:gridCol w:w="1395"/>
        <w:gridCol w:w="1395"/>
        <w:gridCol w:w="1395"/>
        <w:gridCol w:w="1395"/>
        <w:gridCol w:w="1395"/>
        <w:gridCol w:w="1395"/>
      </w:tblGrid>
      <w:tr>
        <w:tc>
          <w:tcPr>
            <w:tcW w:w="0" w:type="auto"/>
            <w:tcBorders>
              <w:top w:val="nil" w:color="000000"/>
              <w:left w:val="nil" w:color="000000"/>
              <w:bottom w:val="nil" w:color="000000"/>
              <w:right w:val="nil" w:color="000000"/>
            </w:tcBorders>
            <w:shd w:val="clear" w:color="000000" w:fill="BFBFBF"/>
            <w:vAlign w:val="center"/>
          </w:tcPr>
          <w:p>
            <w:pPr>
              <w:spacing w:after="0"/>
              <w:jc w:val="left"/>
            </w:pPr>
            <w:r>
              <w:rPr>
                <w:rFonts w:ascii="Times new roman" w:hAnsi="Times new roman" w:eastAsia="Times new roman" w:cs="Times new roman"/>
                <w:b w:val="true"/>
                <w:color w:val="000000"/>
                <w:sz w:val="20"/>
              </w:rPr>
              <w:t xml:space="preserve"/>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N EF improved_P/N total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Hibernating tissue in n_pArea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Scar tissue in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Coronary flow reserve_pArea of intervention †</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tissue_pOverall</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tissue_pRemote area</w:t>
            </w:r>
          </w:p>
        </w:tc>
        <w:tc>
          <w:tcPr>
            <w:tcW w:w="0" w:type="auto"/>
            <w:tcBorders>
              <w:top w:val="nil" w:color="000000"/>
              <w:left w:val="nil" w:color="000000"/>
              <w:bottom w:val="nil" w:color="000000"/>
              <w:right w:val="nil" w:color="000000"/>
            </w:tcBorders>
            <w:shd w:val="clear" w:color="000000" w:fill="BFBFBF"/>
            <w:vAlign w:val="center"/>
          </w:tcPr>
          <w:p>
            <w:pPr>
              <w:spacing w:after="0"/>
              <w:jc w:val="center"/>
            </w:pPr>
            <w:r>
              <w:rPr>
                <w:rFonts w:ascii="Times new roman" w:hAnsi="Times new roman" w:eastAsia="Times new roman" w:cs="Times new roman"/>
                <w:b w:val="true"/>
                <w:color w:val="000000"/>
                <w:sz w:val="20"/>
              </w:rPr>
              <w:t xml:space="preserve">MGU during HEC in µmol/min/100g tissue_pArea of intervention ‡</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Overall</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26/44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0.34_p(0.17-0.50)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0.38_p(0.22-0.54)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0.50_p(0.32-0.68)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0.48_p(0.29-0.67)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0.57_p(0.37-0.77)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0.53_p(0.35-0.71)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0.51_p(0.33-0.70)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0.47_p(0.29-0.66)</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Patient characteristics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Sex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23/39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0.35_p(0.17-0.52)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0.41_p(0.24-0.58)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0.49_p(0.30-0.68)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0.46_p(0.26-0.66)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0.50_p(0.29-0.71)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0.52_p(0.32-0.72)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0.50_p(0.30-0.71)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0.48_p(0.27-0.68)</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Women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0.75_p(0.06-1.00)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1.00_p(1.00-1.00)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0.33_p(0.00-0.99)</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Diabetes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Yes</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7/13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0.31_p(0.00-0.64)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0.32_p(0.00-0.65)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0.79_p(0.51-1.00)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0.33_p(0.00-0.71)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0.42_p(0.00-0.88)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0.76_p(0.43-1.00)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0.62_p(0.26-0.97)</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No</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19/31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0.36_p(0.15-0.56)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0.42_p(0.22-0.61)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0.37_p(0.17-0.57)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0.54_p(0.31-0.77)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0.63_p(0.39-0.87)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0.43_p(0.22-0.65)</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0.36_p(0.16-0.56)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0.38_p(0.17-0.60)</w:t>
            </w:r>
          </w:p>
        </w:tc>
      </w:tr>
      <w:tr>
        <w:tc>
          <w:tcPr>
            <w:tcW w:w="0" w:type="auto"/>
            <w:tcBorders>
              <w:top w:val="nil" w:color="000000"/>
              <w:left w:val="nil" w:color="000000"/>
              <w:bottom w:val="nil" w:color="000000"/>
              <w:right w:val="nil" w:color="000000"/>
            </w:tcBorders>
            <w:shd w:val="clear" w:color="000000" w:fill="D9D9D9"/>
            <w:vAlign w:val="center"/>
          </w:tcPr>
          <w:p>
            <w:pPr>
              <w:spacing w:after="0"/>
              <w:jc w:val="left"/>
            </w:pPr>
            <w:r>
              <w:rPr>
                <w:rFonts w:ascii="Times new roman" w:hAnsi="Times new roman" w:eastAsia="Times new roman" w:cs="Times new roman"/>
                <w:color w:val="000000"/>
                <w:sz w:val="20"/>
              </w:rPr>
              <w:t xml:space="preserve">Cardiac status</w:t>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shd w:val="clear" w:color="000000" w:fill="D9D9D9"/>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Pre-intervention EF</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Below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11/16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0.48_p(0.15-0.82)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0.55_p(0.23-0.87)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0.42_p(0.01-0.83)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0.69_p(0.35-1.00)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0.64_p(0.32-0.96)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0.62_p(0.31-0.93)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0.49_p(0.15-0.84)</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Above median</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0.29_p(0.09-0.49)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0.33_p(0.13-0.52)</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0.47_p(0.24-0.69)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0.44_p(0.19-0.68)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0.48_p(0.23-0.73)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0.46_p(0.23-0.70)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0.44_p(0.21-0.68)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0.43_p(0.20-0.66)</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Area of intervention, n (%)</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LAD</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5/9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0.58_p(0.15-1.00)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0.50_p(0.07-0.93)</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0.58_p(0.00-1.00)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0.55_p(0.08-1.00)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0.40_p(0.00-0.89)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0.45_p(0.00-0.92)</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LCx</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3/8</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0.13_p(0.00-0.44)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0.20_p(0.00-0.44)</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0.67_p(0.01-1.00)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0.93_p(0.75-1.00)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0.40_p(0.00-1.00)</w:t>
            </w:r>
          </w:p>
        </w:tc>
      </w:tr>
      <w:tr>
        <w:tc>
          <w:tcPr>
            <w:tcW w:w="0" w:type="auto"/>
            <w:tcBorders>
              <w:top w:val="nil" w:color="000000"/>
              <w:left w:val="nil" w:color="000000"/>
              <w:bottom w:val="nil" w:color="000000"/>
              <w:right w:val="nil" w:color="000000"/>
            </w:tcBorders>
            <w:vAlign w:val="center"/>
          </w:tcPr>
          <w:p>
            <w:pPr>
              <w:spacing w:after="0"/>
              <w:jc w:val="left"/>
            </w:pPr>
            <w:r>
              <w:rPr>
                <w:rFonts w:ascii="Times new roman" w:hAnsi="Times new roman" w:eastAsia="Times new roman" w:cs="Times new roman"/>
                <w:color w:val="000000"/>
                <w:sz w:val="20"/>
              </w:rPr>
              <w:t xml:space="preserve">- RCA</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3/7</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0.12_p(0.00-0.41)</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0.37_p(0.00-0.79)</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0.25_p(0.00-0.66)</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0.78_p(0.29-1.00)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0.56_p(0.00-1.00)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0.83_p(0.46-1.00)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0.75_p(0.33-1.00)</w:t>
            </w:r>
          </w:p>
        </w:tc>
        <w:tc>
          <w:tcPr>
            <w:tcW w:w="0" w:type="auto"/>
            <w:tcBorders>
              <w:top w:val="nil" w:color="000000"/>
              <w:left w:val="nil" w:color="000000"/>
              <w:bottom w:val="nil"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0.67_p(0.17-1.00)</w:t>
            </w:r>
          </w:p>
        </w:tc>
      </w:tr>
      <w:tr>
        <w:tc>
          <w:tcPr>
            <w:tcW w:w="0" w:type="auto"/>
            <w:tcBorders>
              <w:top w:val="nil" w:color="000000"/>
              <w:left w:val="nil" w:color="000000"/>
              <w:bottom w:val="single" w:color="000000"/>
              <w:right w:val="nil" w:color="000000"/>
            </w:tcBorders>
            <w:vAlign w:val="center"/>
          </w:tcPr>
          <w:p>
            <w:pPr>
              <w:spacing w:after="0"/>
              <w:jc w:val="left"/>
            </w:pPr>
            <w:r>
              <w:rPr>
                <w:rFonts w:ascii="Times new roman" w:hAnsi="Times new roman" w:eastAsia="Times new roman" w:cs="Times new roman"/>
                <w:color w:val="000000"/>
                <w:sz w:val="20"/>
              </w:rPr>
              <w:t xml:space="preserve">- Multiple areas</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15/20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0.36_p(0.00-0.73)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0.39_p(0.08-0.70)</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0.56_p(0.31-0.81)</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0.21_p(0.00-0.43)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0.29_p(0.05-0.53)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0.47_p(0.10-0.83)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0.53_p(0.13-0.93)</w:t>
            </w:r>
          </w:p>
        </w:tc>
        <w:tc>
          <w:tcPr>
            <w:tcW w:w="0" w:type="auto"/>
            <w:tcBorders>
              <w:top w:val="nil" w:color="000000"/>
              <w:left w:val="nil" w:color="000000"/>
              <w:bottom w:val="single" w:color="000000"/>
              <w:right w:val="nil" w:color="000000"/>
            </w:tcBorders>
            <w:vAlign w:val="center"/>
          </w:tcPr>
          <w:p>
            <w:pPr>
              <w:spacing w:after="0"/>
              <w:jc w:val="center"/>
            </w:pPr>
            <w:r>
              <w:rPr>
                <w:rFonts w:ascii="Times new roman" w:hAnsi="Times new roman" w:eastAsia="Times new roman" w:cs="Times new roman"/>
                <w:color w:val="000000"/>
                <w:sz w:val="20"/>
              </w:rPr>
              <w:t xml:space="preserve">0.48_p(0.10-0.86)</w:t>
            </w:r>
          </w:p>
        </w:tc>
      </w:tr>
    </w:tbl>
    <w:p>
      <w:r>
        <w:t/>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LAD, left anterior descendent artery; LCx, left circumflex artery; RCA, right coronary artery.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Sensitivity analysis to check if AUC varied by patient characteristics. The analysis was prespecified in statistical analysis plan. The analysis is mentioned but not not presented in paper as the analysis did not add any new insights. * † ‡ See table 1 footnotes in manuscript.</w:t>
      </w:r>
    </w:p>
    <w:p>
      <w:pPr>
        <w:sectPr>
          <w:footerReference w:type="default" r:id="rId3"/>
          <w:pgSz w:w="16839" w:h="11907" w:orient="landscape" w:code="9"/>
          <w:pgMar w:top="1440" w:right="1440" w:bottom="1440" w:left="1440"/>
          <w:pgNumType w:fmt="decimal"/>
        </w:sectPr>
      </w:pPr>
    </w:p>
    <w:p>
      <w:pPr>
        <w:pStyle w:val="Heading2"/>
        <w:rPr>
          <w:rFonts w:ascii="Times new roman" w:hAnsi="Times new roman" w:eastAsia="Times new roman" w:cs="Times new roman"/>
          <w:color w:val="000000"/>
          <w:sz w:val="26"/>
        </w:rPr>
      </w:pPr>
      <w:r>
        <w:t/>
      </w:r>
      <w:r>
        <w:t xml:space="preserve"/>
      </w:r>
      <w:r>
        <w:rPr>
          <w:rFonts w:ascii="Times new roman" w:hAnsi="Times new roman" w:eastAsia="Times new roman" w:cs="Times new roman"/>
          <w:color w:val="000000"/>
          <w:sz w:val="26"/>
        </w:rPr>
        <w:t xml:space="preserve">ROC curves for predicting LVEF-improvement of 10% or above</w:t>
      </w:r>
    </w:p>
    <w:p>
      <w:pPr>
        <w:jc w:val="center"/>
      </w:pPr>
      <w:r>
        <w:t/>
      </w:r>
      <w:r>
        <w:drawing>
          <wp:inline distT="0" distB="0" distL="0" distR="0">
            <wp:extent cx="5732145" cy="573214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5732145"/>
                    </a:xfrm>
                    <a:prstGeom prst="rect">
                      <a:avLst/>
                    </a:prstGeom>
                  </pic:spPr>
                </pic:pic>
              </a:graphicData>
            </a:graphic>
          </wp:inline>
        </w:drawing>
      </w:r>
    </w:p>
    <w:p>
      <w:pPr>
        <w:rPr>
          <w:rFonts w:ascii="Times new roman" w:hAnsi="Times new roman" w:eastAsia="Times new roman" w:cs="Times new roman"/>
          <w:color w:val="000000"/>
          <w:sz w:val="20"/>
        </w:rPr>
      </w:pPr>
      <w:r>
        <w:t/>
      </w:r>
      <w:r>
        <w:rPr>
          <w:rFonts w:ascii="Times new roman" w:hAnsi="Times new roman" w:eastAsia="Times new roman" w:cs="Times new roman"/>
          <w:b w:val="true"/>
          <w:color w:val="000000"/>
          <w:sz w:val="20"/>
        </w:rPr>
        <w:t xml:space="preserve">Abbreviations:</w:t>
      </w:r>
      <w:r>
        <w:rPr>
          <w:rFonts w:ascii="Times new roman" w:hAnsi="Times new roman" w:eastAsia="Times new roman" w:cs="Times new roman"/>
          <w:color w:val="000000"/>
          <w:sz w:val="20"/>
        </w:rPr>
        <w:t xml:space="preserve"> EF, ejection fraction; HEC, hyperinsulinemic euglycemic clamp; MGU, myocardial glucose uptake; ROC, receiver operator curve. </w:t>
        <w:br w:type="textWrapping"/>
      </w:r>
      <w:r>
        <w:rPr>
          <w:rFonts w:ascii="Times new roman" w:hAnsi="Times new roman" w:eastAsia="Times new roman" w:cs="Times new roman"/>
          <w:b w:val="true"/>
          <w:color w:val="000000"/>
          <w:sz w:val="20"/>
        </w:rPr>
        <w:t xml:space="preserve">Notes:</w:t>
      </w:r>
      <w:r>
        <w:rPr>
          <w:rFonts w:ascii="Times new roman" w:hAnsi="Times new roman" w:eastAsia="Times new roman" w:cs="Times new roman"/>
          <w:color w:val="000000"/>
          <w:sz w:val="20"/>
        </w:rPr>
        <w:t xml:space="preserve"> Secondary outcome, described but not presented in paper. * † ‡ See table 1 footnotes in manuscript.</w:t>
      </w:r>
    </w:p>
    <w:sectPr>
      <w:footerReference w:type="default" r:id="rId3"/>
      <w:pgSz w:w="11907" w:h="16839" w:code="9"/>
      <w:pgMar w:top="1440" w:right="1440" w:bottom="1440" w:left="1440"/>
      <w:pgNumType w:fmt="decimal"/>
    </w:sectPr>
  </w:body>
</w:document>
</file>

<file path=word/footer-p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Page </w:t>
    </w:r>
    <w:r>
      <w:rPr>
        <w:b w:val="true"/>
      </w:rPr>
      <w:fldChar w:fldCharType="begin"/>
      <w:instrText xml:space="preserve"> PAGE \* MERGEFORMAT </w:instrText>
      <w:fldChar w:fldCharType="end"/>
    </w:r>
    <w:r>
      <w:t xml:space="preserve"> of </w:t>
    </w:r>
    <w:r>
      <w:rPr>
        <w:b w:val="true"/>
      </w:rPr>
      <w:fldChar w:fldCharType="begin"/>
      <w:instrText xml:space="preserve"> NUMPAGES \* MERGEFORMAT </w:instrText>
      <w:fldChar w:fldCharType="end"/>
    </w:r>
  </w:p>
</w:ft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pfooter.xml" Type="http://schemas.openxmlformats.org/officeDocument/2006/relationships/footer"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