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pfooter.xml"/>
  <Override ContentType="image/png" PartName="/word/media/document_image_rId4.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Heading1"/>
        <w:rPr>
          <w:rFonts w:ascii="Times new roman" w:hAnsi="Times new roman" w:eastAsia="Times new roman" w:cs="Times new roman"/>
          <w:color w:val="000000"/>
          <w:sz w:val="30"/>
        </w:rPr>
      </w:pPr>
      <w:r>
        <w:t/>
      </w:r>
      <w:r>
        <w:t xml:space="preserve"/>
      </w:r>
      <w:r>
        <w:rPr>
          <w:rFonts w:ascii="Times new roman" w:hAnsi="Times new roman" w:eastAsia="Times new roman" w:cs="Times new roman"/>
          <w:color w:val="000000"/>
          <w:sz w:val="30"/>
        </w:rPr>
        <w:t xml:space="preserve">Results of various analyses not presented in the paper</w:t>
      </w:r>
    </w:p>
    <w:p>
      <w:pPr>
        <w:pStyle w:val="Heading2"/>
        <w:rPr>
          <w:rFonts w:ascii="Times new roman" w:hAnsi="Times new roman" w:eastAsia="Times new roman" w:cs="Times new roman"/>
          <w:color w:val="000000"/>
          <w:sz w:val="26"/>
        </w:rPr>
      </w:pPr>
      <w:r>
        <w:t/>
      </w:r>
      <w:r>
        <w:t xml:space="preserve"/>
      </w:r>
      <w:r>
        <w:rPr>
          <w:rFonts w:ascii="Times new roman" w:hAnsi="Times new roman" w:eastAsia="Times new roman" w:cs="Times new roman"/>
          <w:color w:val="000000"/>
          <w:sz w:val="26"/>
        </w:rPr>
        <w:t xml:space="preserve">Patient characteristics stratified for diabetes status</w:t>
      </w:r>
    </w:p>
    <w:tbl>
      <w:tblPr>
        <w:tblStyle w:val="TableGrid"/>
        <w:tblW w:w="0" w:type="auto"/>
      </w:tblPr>
      <w:tblGrid>
        <w:gridCol w:w="3009"/>
        <w:gridCol w:w="3009"/>
        <w:gridCol w:w="3009"/>
      </w:tblGrid>
      <w:tr>
        <w:tc>
          <w:tcPr>
            <w:tcW w:w="0" w:type="auto"/>
            <w:tcBorders>
              <w:top w:val="nil" w:color="000000"/>
              <w:left w:val="nil" w:color="000000"/>
              <w:bottom w:val="nil" w:color="000000"/>
              <w:right w:val="nil" w:color="000000"/>
            </w:tcBorders>
            <w:shd w:val="clear" w:color="000000" w:fill="BFBFBF"/>
            <w:vAlign w:val="center"/>
          </w:tcPr>
          <w:p>
            <w:pPr>
              <w:spacing w:after="0"/>
              <w:jc w:val="left"/>
            </w:pPr>
            <w:r>
              <w:rPr>
                <w:rFonts w:ascii="Times new roman" w:hAnsi="Times new roman" w:eastAsia="Times new roman" w:cs="Times new roman"/>
                <w:b w:val="true"/>
                <w:color w:val="000000"/>
                <w:sz w:val="20"/>
              </w:rPr>
              <w:t xml:space="preserve"/>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Diabetes</w:t>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No diabetes</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Patients, N</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13</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31</w:t>
            </w:r>
          </w:p>
        </w:tc>
      </w:tr>
      <w:tr>
        <w:tc>
          <w:tcPr>
            <w:tcW w:w="0" w:type="auto"/>
            <w:tcBorders>
              <w:top w:val="nil" w:color="000000"/>
              <w:left w:val="nil" w:color="000000"/>
              <w:bottom w:val="nil" w:color="000000"/>
              <w:right w:val="nil" w:color="000000"/>
            </w:tcBorders>
            <w:shd w:val="clear" w:color="000000" w:fill="D9D9D9"/>
            <w:vAlign w:val="center"/>
          </w:tcPr>
          <w:p>
            <w:pPr>
              <w:spacing w:after="0"/>
              <w:jc w:val="left"/>
            </w:pPr>
            <w:r>
              <w:rPr>
                <w:rFonts w:ascii="Times new roman" w:hAnsi="Times new roman" w:eastAsia="Times new roman" w:cs="Times new roman"/>
                <w:color w:val="000000"/>
                <w:sz w:val="20"/>
              </w:rPr>
              <w:t xml:space="preserve">Patient characteristics</w:t>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Age in years, mean (SD)</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65.3 (10.0)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64.7 (8.6)</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Sex, n (%)</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Male</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10 (76.9)</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29 (93.5)</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Female</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 (23.1)</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 (6.5)</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BMI in kg/m2, median (IQR)</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28.1 (25.4-30.5)</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26.7 (24.1-30.1)</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P-glucose during HEC in mM, median (IQR)</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5.3 (5.2-6.3)</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5.1 (4.8-5.2)</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Glucose infusion rate during HEC in mg/kg/min, median (IQR)</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2.8 (2.1-4.5)</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3.8 (2.7-5.0)</w:t>
            </w:r>
          </w:p>
        </w:tc>
      </w:tr>
      <w:tr>
        <w:tc>
          <w:tcPr>
            <w:tcW w:w="0" w:type="auto"/>
            <w:tcBorders>
              <w:top w:val="nil" w:color="000000"/>
              <w:left w:val="nil" w:color="000000"/>
              <w:bottom w:val="nil" w:color="000000"/>
              <w:right w:val="nil" w:color="000000"/>
            </w:tcBorders>
            <w:shd w:val="clear" w:color="000000" w:fill="D9D9D9"/>
            <w:vAlign w:val="center"/>
          </w:tcPr>
          <w:p>
            <w:pPr>
              <w:spacing w:after="0"/>
              <w:jc w:val="left"/>
            </w:pPr>
            <w:r>
              <w:rPr>
                <w:rFonts w:ascii="Times new roman" w:hAnsi="Times new roman" w:eastAsia="Times new roman" w:cs="Times new roman"/>
                <w:color w:val="000000"/>
                <w:sz w:val="20"/>
              </w:rPr>
              <w:t xml:space="preserve">Cardiac status</w:t>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Ejection-fraction on echocardiography in %, mean (SD)</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Before intervention</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28.8 (5.8)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31.6 (11.1)</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After intervention</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34.2 (8.1)</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37.3 (11.9)</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Types of intervention, n (%)</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PCI without CTO</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 (23.1)</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18 (58.1)</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PCI with CTO</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6 (46.2)</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10 (32.3)</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CABG</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4 (30.8)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 (9.7)</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Area of intervention, n (%)</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LAD</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 (15.4)</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7 (22.6)</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LCx</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 (15.4)</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6 (19.4)</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RCA</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 (7.7)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6 (19.4)</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Multiple areas</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8 (61.5)</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12 (38.7)</w:t>
            </w:r>
          </w:p>
        </w:tc>
      </w:tr>
      <w:tr>
        <w:tc>
          <w:tcPr>
            <w:tcW w:w="0" w:type="auto"/>
            <w:tcBorders>
              <w:top w:val="nil" w:color="000000"/>
              <w:left w:val="nil" w:color="000000"/>
              <w:bottom w:val="nil" w:color="000000"/>
              <w:right w:val="nil" w:color="000000"/>
            </w:tcBorders>
            <w:shd w:val="clear" w:color="000000" w:fill="D9D9D9"/>
            <w:vAlign w:val="center"/>
          </w:tcPr>
          <w:p>
            <w:pPr>
              <w:spacing w:after="0"/>
              <w:jc w:val="left"/>
            </w:pPr>
            <w:r>
              <w:rPr>
                <w:rFonts w:ascii="Times new roman" w:hAnsi="Times new roman" w:eastAsia="Times new roman" w:cs="Times new roman"/>
                <w:color w:val="000000"/>
                <w:sz w:val="20"/>
              </w:rPr>
              <w:t xml:space="preserve">PET measurements</w:t>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Scar tissue in %, median (IQR)</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11.0 (7.0-18.0)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15.0 (6.0-22.0)</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Hibernating tissue, median (IQR)</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Overall in %</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4.0 (1.0-9.0)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2.0 (0.0-8.0)</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Area of intervention in n hibernating segments *</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1.0 (0.0-2.0)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0.0 (0.0-2.0)</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Coronary flow reserve, median (IQR)</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Overall</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1.6 (1.3-2.2)</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1.7 (1.3-2.0)</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Area of intervention #</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1.3 (1.1-1.8)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1.7 (1.2-2.1)</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Myocardial glucose uptake during in µmol/min/100g tissue, median (IQR)</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Overall</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25.6 (12.4-32.8)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29.4 (20.3-37.3)</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Remote area</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29.2 (15.0-37.6)</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34.4 (24.7-41.1)</w:t>
            </w:r>
          </w:p>
        </w:tc>
      </w:tr>
      <w:tr>
        <w:tc>
          <w:tcPr>
            <w:tcW w:w="0" w:type="auto"/>
            <w:tcBorders>
              <w:top w:val="nil" w:color="000000"/>
              <w:left w:val="nil" w:color="000000"/>
              <w:bottom w:val="single" w:color="000000"/>
              <w:right w:val="nil" w:color="000000"/>
            </w:tcBorders>
            <w:vAlign w:val="center"/>
          </w:tcPr>
          <w:p>
            <w:pPr>
              <w:spacing w:after="0"/>
              <w:jc w:val="left"/>
            </w:pPr>
            <w:r>
              <w:rPr>
                <w:rFonts w:ascii="Times new roman" w:hAnsi="Times new roman" w:eastAsia="Times new roman" w:cs="Times new roman"/>
                <w:color w:val="000000"/>
                <w:sz w:val="20"/>
              </w:rPr>
              <w:t xml:space="preserve">- Area of intervention §</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27.3 (13.8-35.3)</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28.1 (21.1-36.2)</w:t>
            </w:r>
          </w:p>
        </w:tc>
      </w:tr>
    </w:tbl>
    <w:p>
      <w:r>
        <w:t/>
      </w:r>
    </w:p>
    <w:p>
      <w:pPr>
        <w:rPr>
          <w:rFonts w:ascii="Times new roman" w:hAnsi="Times new roman" w:eastAsia="Times new roman" w:cs="Times new roman"/>
          <w:color w:val="000000"/>
          <w:sz w:val="20"/>
        </w:rPr>
      </w:pPr>
      <w:r>
        <w:t/>
      </w:r>
      <w:r>
        <w:rPr>
          <w:rFonts w:ascii="Times new roman" w:hAnsi="Times new roman" w:eastAsia="Times new roman" w:cs="Times new roman"/>
          <w:b w:val="true"/>
          <w:color w:val="000000"/>
          <w:sz w:val="20"/>
        </w:rPr>
        <w:t xml:space="preserve">Abbreviations:</w:t>
      </w:r>
      <w:r>
        <w:rPr>
          <w:rFonts w:ascii="Times new roman" w:hAnsi="Times new roman" w:eastAsia="Times new roman" w:cs="Times new roman"/>
          <w:color w:val="000000"/>
          <w:sz w:val="20"/>
        </w:rPr>
        <w:t xml:space="preserve"> CABG, coronary artery bypass grafting; CTO, chronic total occlusion; HEC, hyperinsulinemic euglycemic clamp; IQR, inter-quartile range (25th to 75th percentile); LAD, left anterior descendent artery; LCx, left circumflex artery; PCI, percutaneous coronary intervention; RCA, right coronary artery; SD, standard deviation. </w:t>
        <w:br w:type="textWrapping"/>
      </w:r>
      <w:r>
        <w:rPr>
          <w:rFonts w:ascii="Times new roman" w:hAnsi="Times new roman" w:eastAsia="Times new roman" w:cs="Times new roman"/>
          <w:b w:val="true"/>
          <w:color w:val="000000"/>
          <w:sz w:val="20"/>
        </w:rPr>
        <w:t xml:space="preserve">Notes:</w:t>
      </w:r>
      <w:r>
        <w:rPr>
          <w:rFonts w:ascii="Times new roman" w:hAnsi="Times new roman" w:eastAsia="Times new roman" w:cs="Times new roman"/>
          <w:color w:val="000000"/>
          <w:sz w:val="20"/>
        </w:rPr>
        <w:t xml:space="preserve"> Prespecified analysis. Not presented in paper as it did not add any new insights. * # § See table 1 footnotes in manuscript.</w:t>
      </w:r>
    </w:p>
    <w:p>
      <w:pPr>
        <w:sectPr>
          <w:footerReference w:type="default" r:id="rId3"/>
          <w:pgSz w:w="11907" w:h="16839" w:code="9"/>
          <w:pgMar w:top="1440" w:right="1440" w:bottom="1440" w:left="1440"/>
          <w:pgNumType w:fmt="decimal"/>
        </w:sectPr>
      </w:pPr>
    </w:p>
    <w:p>
      <w:pPr>
        <w:pStyle w:val="Heading2"/>
        <w:rPr>
          <w:rFonts w:ascii="Times new roman" w:hAnsi="Times new roman" w:eastAsia="Times new roman" w:cs="Times new roman"/>
          <w:color w:val="000000"/>
          <w:sz w:val="26"/>
        </w:rPr>
      </w:pPr>
      <w:r>
        <w:t/>
      </w:r>
      <w:r>
        <w:t xml:space="preserve"/>
      </w:r>
      <w:r>
        <w:rPr>
          <w:rFonts w:ascii="Times new roman" w:hAnsi="Times new roman" w:eastAsia="Times new roman" w:cs="Times new roman"/>
          <w:color w:val="000000"/>
          <w:sz w:val="26"/>
        </w:rPr>
        <w:t xml:space="preserve">ROC AUC sensitivity analysis stratified by patient characteristics</w:t>
      </w:r>
    </w:p>
    <w:tbl>
      <w:tblPr>
        <w:tblStyle w:val="TableGrid"/>
        <w:tblW w:w="0" w:type="auto"/>
      </w:tblPr>
      <w:tblGrid>
        <w:gridCol w:w="1395"/>
        <w:gridCol w:w="1395"/>
        <w:gridCol w:w="1395"/>
        <w:gridCol w:w="1395"/>
        <w:gridCol w:w="1395"/>
        <w:gridCol w:w="1395"/>
        <w:gridCol w:w="1395"/>
        <w:gridCol w:w="1395"/>
        <w:gridCol w:w="1395"/>
        <w:gridCol w:w="1395"/>
      </w:tblGrid>
      <w:tr>
        <w:tc>
          <w:tcPr>
            <w:tcW w:w="0" w:type="auto"/>
            <w:tcBorders>
              <w:top w:val="nil" w:color="000000"/>
              <w:left w:val="nil" w:color="000000"/>
              <w:bottom w:val="nil" w:color="000000"/>
              <w:right w:val="nil" w:color="000000"/>
            </w:tcBorders>
            <w:shd w:val="clear" w:color="000000" w:fill="BFBFBF"/>
            <w:vAlign w:val="center"/>
          </w:tcPr>
          <w:p>
            <w:pPr>
              <w:spacing w:after="0"/>
              <w:jc w:val="left"/>
            </w:pPr>
            <w:r>
              <w:rPr>
                <w:rFonts w:ascii="Times new roman" w:hAnsi="Times new roman" w:eastAsia="Times new roman" w:cs="Times new roman"/>
                <w:b w:val="true"/>
                <w:color w:val="000000"/>
                <w:sz w:val="20"/>
              </w:rPr>
              <w:t xml:space="preserve"/>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N EF improved_P/N total</w:t>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Hibernating tissue in %_pOverall</w:t>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Hibernating tissue in n_pArea of intervention *</w:t>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Scar tissue in %</w:t>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Coronary flow reserve_pOverall</w:t>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Coronary flow reserve_pArea of intervention #</w:t>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MGU during HEC in µmol/min/100g tissue_pOverall</w:t>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MGU during HEC in µmol/min/100g tissue_pRemote area</w:t>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MGU during HEC in µmol/min/100g tissue_pArea of intervention §</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Overall</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26/44</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0.34_p(0.17-0.50)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0.38_p(0.22-0.54)</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0.50_p(0.32-0.68)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0.48_p(0.29-0.67)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0.57_p(0.37-0.77)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0.53_p(0.35-0.71)</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0.51_p(0.33-0.70)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0.47_p(0.29-0.66)</w:t>
            </w:r>
          </w:p>
        </w:tc>
      </w:tr>
      <w:tr>
        <w:tc>
          <w:tcPr>
            <w:tcW w:w="0" w:type="auto"/>
            <w:tcBorders>
              <w:top w:val="nil" w:color="000000"/>
              <w:left w:val="nil" w:color="000000"/>
              <w:bottom w:val="nil" w:color="000000"/>
              <w:right w:val="nil" w:color="000000"/>
            </w:tcBorders>
            <w:shd w:val="clear" w:color="000000" w:fill="D9D9D9"/>
            <w:vAlign w:val="center"/>
          </w:tcPr>
          <w:p>
            <w:pPr>
              <w:spacing w:after="0"/>
              <w:jc w:val="left"/>
            </w:pPr>
            <w:r>
              <w:rPr>
                <w:rFonts w:ascii="Times new roman" w:hAnsi="Times new roman" w:eastAsia="Times new roman" w:cs="Times new roman"/>
                <w:color w:val="000000"/>
                <w:sz w:val="20"/>
              </w:rPr>
              <w:t xml:space="preserve">Patient characteristics</w:t>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Sex</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Men</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23/39</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0.35_p(0.17-0.52)</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0.41_p(0.24-0.58)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0.49_p(0.30-0.68)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0.46_p(0.26-0.66)</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0.50_p(0.29-0.71)</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0.52_p(0.32-0.72)</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0.50_p(0.30-0.71)</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0.48_p(0.27-0.68)</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Women</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3/5</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0.25_p(0.00-0.77)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0.25_p(0.00-0.77)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0.50_p(0.00-1.00)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0.75_p(0.06-1.00)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1.00_p(1.00-1.00)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0.50_p(0.00-1.00)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0.67_p(0.01-1.00)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0.33_p(0.00-0.99)</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Diabetes</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Yes</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7/13</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0.31_p(0.00-0.64)</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0.32_p(0.00-0.65)</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0.79_p(0.51-1.00)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0.33_p(0.00-0.71)</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0.42_p(0.00-0.88)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0.76_p(0.43-1.00)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0.76_p(0.43-1.00)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0.62_p(0.26-0.97)</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No</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19/31</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0.36_p(0.15-0.56)</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0.42_p(0.22-0.61)</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0.37_p(0.17-0.57)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0.54_p(0.31-0.77)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0.63_p(0.39-0.87)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0.43_p(0.22-0.65)</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0.36_p(0.16-0.56)</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0.38_p(0.17-0.60)</w:t>
            </w:r>
          </w:p>
        </w:tc>
      </w:tr>
      <w:tr>
        <w:tc>
          <w:tcPr>
            <w:tcW w:w="0" w:type="auto"/>
            <w:tcBorders>
              <w:top w:val="nil" w:color="000000"/>
              <w:left w:val="nil" w:color="000000"/>
              <w:bottom w:val="nil" w:color="000000"/>
              <w:right w:val="nil" w:color="000000"/>
            </w:tcBorders>
            <w:shd w:val="clear" w:color="000000" w:fill="D9D9D9"/>
            <w:vAlign w:val="center"/>
          </w:tcPr>
          <w:p>
            <w:pPr>
              <w:spacing w:after="0"/>
              <w:jc w:val="left"/>
            </w:pPr>
            <w:r>
              <w:rPr>
                <w:rFonts w:ascii="Times new roman" w:hAnsi="Times new roman" w:eastAsia="Times new roman" w:cs="Times new roman"/>
                <w:color w:val="000000"/>
                <w:sz w:val="20"/>
              </w:rPr>
              <w:t xml:space="preserve">Cardiac status</w:t>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Pre-intervention EF</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Below median</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11/16</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0.48_p(0.15-0.82)</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0.55_p(0.23-0.87)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0.42_p(0.01-0.83)</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0.69_p(0.35-1.00)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0.93_p(0.76-1.00)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0.64_p(0.32-0.96)</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0.62_p(0.31-0.93)</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0.49_p(0.15-0.84)</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Above median</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15/28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0.29_p(0.09-0.49)</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0.33_p(0.13-0.52)</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0.47_p(0.24-0.69)</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0.44_p(0.19-0.68)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0.48_p(0.23-0.73)</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0.46_p(0.23-0.70)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0.44_p(0.21-0.68)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0.43_p(0.20-0.66)</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Area of intervention, n (%)</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LAD</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5/9</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0.58_p(0.15-1.00)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0.50_p(0.07-0.93)</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0.25_p(0.00-0.68)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0.58_p(0.00-1.00)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0.50_p(0.00-1.00)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0.55_p(0.08-1.00)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0.40_p(0.00-0.89)</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0.45_p(0.00-0.92)</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LCx</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0.13_p(0.00-0.44)</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0.20_p(0.00-0.44)</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0.53_p(0.00-1.00)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0.67_p(0.01-1.00)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0.93_p(0.75-1.00)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0.47_p(0.00-1.00)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0.40_p(0.00-1.00)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0.40_p(0.00-1.00)</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RCA</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0.12_p(0.00-0.41)</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0.37_p(0.00-0.79)</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0.25_p(0.00-0.66)</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0.78_p(0.29-1.00)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0.56_p(0.00-1.00)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0.83_p(0.46-1.00)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0.75_p(0.33-1.00)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0.67_p(0.17-1.00)</w:t>
            </w:r>
          </w:p>
        </w:tc>
      </w:tr>
      <w:tr>
        <w:tc>
          <w:tcPr>
            <w:tcW w:w="0" w:type="auto"/>
            <w:tcBorders>
              <w:top w:val="nil" w:color="000000"/>
              <w:left w:val="nil" w:color="000000"/>
              <w:bottom w:val="single" w:color="000000"/>
              <w:right w:val="nil" w:color="000000"/>
            </w:tcBorders>
            <w:vAlign w:val="center"/>
          </w:tcPr>
          <w:p>
            <w:pPr>
              <w:spacing w:after="0"/>
              <w:jc w:val="left"/>
            </w:pPr>
            <w:r>
              <w:rPr>
                <w:rFonts w:ascii="Times new roman" w:hAnsi="Times new roman" w:eastAsia="Times new roman" w:cs="Times new roman"/>
                <w:color w:val="000000"/>
                <w:sz w:val="20"/>
              </w:rPr>
              <w:t xml:space="preserve">- Multiple areas</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15/20</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0.36_p(0.00-0.73)</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0.39_p(0.08-0.70)</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0.56_p(0.31-0.81)</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0.21_p(0.00-0.43)</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0.29_p(0.05-0.53)</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0.47_p(0.10-0.83)</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0.53_p(0.13-0.93)</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0.48_p(0.10-0.86)</w:t>
            </w:r>
          </w:p>
        </w:tc>
      </w:tr>
    </w:tbl>
    <w:p>
      <w:r>
        <w:t/>
      </w:r>
    </w:p>
    <w:p>
      <w:pPr>
        <w:rPr>
          <w:rFonts w:ascii="Times new roman" w:hAnsi="Times new roman" w:eastAsia="Times new roman" w:cs="Times new roman"/>
          <w:color w:val="000000"/>
          <w:sz w:val="20"/>
        </w:rPr>
      </w:pPr>
      <w:r>
        <w:t/>
      </w:r>
      <w:r>
        <w:rPr>
          <w:rFonts w:ascii="Times new roman" w:hAnsi="Times new roman" w:eastAsia="Times new roman" w:cs="Times new roman"/>
          <w:b w:val="true"/>
          <w:color w:val="000000"/>
          <w:sz w:val="20"/>
        </w:rPr>
        <w:t xml:space="preserve">Abbreviations:</w:t>
      </w:r>
      <w:r>
        <w:rPr>
          <w:rFonts w:ascii="Times new roman" w:hAnsi="Times new roman" w:eastAsia="Times new roman" w:cs="Times new roman"/>
          <w:color w:val="000000"/>
          <w:sz w:val="20"/>
        </w:rPr>
        <w:t xml:space="preserve"> EF, ejection fraction; LAD, left anterior descendent artery; LCx, left circumflex artery; RCA, right coronary artery. </w:t>
        <w:br w:type="textWrapping"/>
      </w:r>
      <w:r>
        <w:rPr>
          <w:rFonts w:ascii="Times new roman" w:hAnsi="Times new roman" w:eastAsia="Times new roman" w:cs="Times new roman"/>
          <w:b w:val="true"/>
          <w:color w:val="000000"/>
          <w:sz w:val="20"/>
        </w:rPr>
        <w:t xml:space="preserve">Notes:</w:t>
      </w:r>
      <w:r>
        <w:rPr>
          <w:rFonts w:ascii="Times new roman" w:hAnsi="Times new roman" w:eastAsia="Times new roman" w:cs="Times new roman"/>
          <w:color w:val="000000"/>
          <w:sz w:val="20"/>
        </w:rPr>
        <w:t xml:space="preserve"> Sensitivity analysis to check if AUC varied by patient characteristics. The analysis was prespecified in statistical analysis plan. The analysis is mentioned but not not presented in paper as the analysis did not add any new insights. * # § See table 1 footnotes in manuscript.</w:t>
      </w:r>
    </w:p>
    <w:p>
      <w:pPr>
        <w:sectPr>
          <w:footerReference w:type="default" r:id="rId3"/>
          <w:pgSz w:w="16839" w:h="11907" w:orient="landscape" w:code="9"/>
          <w:pgMar w:top="1440" w:right="1440" w:bottom="1440" w:left="1440"/>
          <w:pgNumType w:fmt="decimal"/>
        </w:sectPr>
      </w:pPr>
    </w:p>
    <w:p>
      <w:pPr>
        <w:pStyle w:val="Heading2"/>
        <w:rPr>
          <w:rFonts w:ascii="Times new roman" w:hAnsi="Times new roman" w:eastAsia="Times new roman" w:cs="Times new roman"/>
          <w:color w:val="000000"/>
          <w:sz w:val="26"/>
        </w:rPr>
      </w:pPr>
      <w:r>
        <w:t/>
      </w:r>
      <w:r>
        <w:t xml:space="preserve"/>
      </w:r>
      <w:r>
        <w:rPr>
          <w:rFonts w:ascii="Times new roman" w:hAnsi="Times new roman" w:eastAsia="Times new roman" w:cs="Times new roman"/>
          <w:color w:val="000000"/>
          <w:sz w:val="26"/>
        </w:rPr>
        <w:t xml:space="preserve">ROC curves for predicting LVEF-improvement of 10% or above</w:t>
      </w:r>
    </w:p>
    <w:p>
      <w:pPr>
        <w:jc w:val="center"/>
      </w:pPr>
      <w:r>
        <w:t/>
      </w:r>
      <w:r>
        <w:drawing>
          <wp:inline distT="0" distB="0" distL="0" distR="0">
            <wp:extent cx="5732145" cy="573214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5732145" cy="5732145"/>
                    </a:xfrm>
                    <a:prstGeom prst="rect">
                      <a:avLst/>
                    </a:prstGeom>
                  </pic:spPr>
                </pic:pic>
              </a:graphicData>
            </a:graphic>
          </wp:inline>
        </w:drawing>
      </w:r>
    </w:p>
    <w:p>
      <w:pPr>
        <w:rPr>
          <w:rFonts w:ascii="Times new roman" w:hAnsi="Times new roman" w:eastAsia="Times new roman" w:cs="Times new roman"/>
          <w:color w:val="000000"/>
          <w:sz w:val="20"/>
        </w:rPr>
      </w:pPr>
      <w:r>
        <w:t/>
      </w:r>
      <w:r>
        <w:rPr>
          <w:rFonts w:ascii="Times new roman" w:hAnsi="Times new roman" w:eastAsia="Times new roman" w:cs="Times new roman"/>
          <w:b w:val="true"/>
          <w:color w:val="000000"/>
          <w:sz w:val="20"/>
        </w:rPr>
        <w:t xml:space="preserve">Abbreviations:</w:t>
      </w:r>
      <w:r>
        <w:rPr>
          <w:rFonts w:ascii="Times new roman" w:hAnsi="Times new roman" w:eastAsia="Times new roman" w:cs="Times new roman"/>
          <w:color w:val="000000"/>
          <w:sz w:val="20"/>
        </w:rPr>
        <w:t xml:space="preserve"> EF, ejection fraction; HEC, hyperinsulinemic euglycemic clamp; MGU, myocardial glucose uptake; ROC, receiver operator curve. </w:t>
        <w:br w:type="textWrapping"/>
      </w:r>
      <w:r>
        <w:rPr>
          <w:rFonts w:ascii="Times new roman" w:hAnsi="Times new roman" w:eastAsia="Times new roman" w:cs="Times new roman"/>
          <w:b w:val="true"/>
          <w:color w:val="000000"/>
          <w:sz w:val="20"/>
        </w:rPr>
        <w:t xml:space="preserve">Notes:</w:t>
      </w:r>
      <w:r>
        <w:rPr>
          <w:rFonts w:ascii="Times new roman" w:hAnsi="Times new roman" w:eastAsia="Times new roman" w:cs="Times new roman"/>
          <w:color w:val="000000"/>
          <w:sz w:val="20"/>
        </w:rPr>
        <w:t xml:space="preserve"> Secondary outcome, described but not presented in paper. * # § See table 1 footnotes in manuscript.</w:t>
      </w:r>
    </w:p>
    <w:sectPr>
      <w:footerReference w:type="default" r:id="rId3"/>
      <w:pgSz w:w="11907" w:h="16839" w:code="9"/>
      <w:pgMar w:top="1440" w:right="1440" w:bottom="1440" w:left="1440"/>
      <w:pgNumType w:fmt="decimal"/>
    </w:sectPr>
  </w:body>
</w:document>
</file>

<file path=word/footer-pfooter.xml><?xml version="1.0" encoding="utf-8"?>
<w:ftr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r>
      <w:t/>
    </w:r>
    <w:r>
      <w:t xml:space="preserve">Page </w:t>
    </w:r>
    <w:r>
      <w:rPr>
        <w:b w:val="true"/>
      </w:rPr>
      <w:fldChar w:fldCharType="begin"/>
      <w:instrText xml:space="preserve"> PAGE \* MERGEFORMAT </w:instrText>
      <w:fldChar w:fldCharType="end"/>
    </w:r>
    <w:r>
      <w:t xml:space="preserve"> of </w:t>
    </w:r>
    <w:r>
      <w:rPr>
        <w:b w:val="true"/>
      </w:rPr>
      <w:fldChar w:fldCharType="begin"/>
      <w:instrText xml:space="preserve"> NUMPAGES \* MERGEFORMAT </w:instrText>
      <w:fldChar w:fldCharType="end"/>
    </w:r>
  </w:p>
</w:ftr>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pfooter.xml" Type="http://schemas.openxmlformats.org/officeDocument/2006/relationships/footer" Id="rId3"/>
    <Relationship Target="media/document_image_rId4.png" Type="http://schemas.openxmlformats.org/officeDocument/2006/relationships/image"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