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93B" w:rsidRDefault="00EF2B62">
      <w:pPr>
        <w:pStyle w:val="Heading1"/>
        <w:rPr>
          <w:rFonts w:ascii="Times New Roman" w:eastAsia="Times New Roman" w:hAnsi="Times New Roman" w:cs="Times New Roman"/>
          <w:color w:val="000000"/>
          <w:sz w:val="30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>Results of various analyses not presented in the paper</w:t>
      </w:r>
    </w:p>
    <w:p w:rsidR="00EA493B" w:rsidRDefault="00EF2B62">
      <w:pPr>
        <w:pStyle w:val="Heading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Patient characteristics stratified for diabetes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5"/>
        <w:gridCol w:w="1509"/>
        <w:gridCol w:w="1509"/>
      </w:tblGrid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</w:tcPr>
          <w:p w:rsidR="00EA493B" w:rsidRDefault="00EA493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Diabetes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No diabetes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Patients,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31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Patient characteristics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Age in years, 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65.3 (10.0)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64.7 (8.6)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Sex,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10 (76.9)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29 (93.5)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 (23.1)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 (6.5)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BMI in kg/m2, median (range)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28.1 (19.4-35.7)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26.7 (19.6-51.5)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P-glucose during HEC in mM, median (range)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5.3 (3.9-7.0)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5.1 (4.3-6.0)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Glucose infusion rate during HEC in mg/kg/min, median (range)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2.8 (1.0-7.2)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3.8 (1.2-7.1)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Cardiac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Ejection-fraction on echocardiography in %, mean (SD)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Before intervention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28.8 (5.8)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31.6 (11.1)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After intervention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34.2 (8.1)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37.3 (11.9)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Types of intervention,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PCI without CTO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 (23.1)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18 (58.1)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PCI with CTO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6 (46.2)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10 (32.3)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CABG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4 (30.8)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 (9.7)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Area of intervention,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LAD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 (15.4)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7 (22.6)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LCx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 (15.4)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6 (19.4)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 (7.7)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6 (19.4)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Multiple areas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8 (61.5)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12 (38.7)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PET measurements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Scar tissue in %, median (range)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11.0 (2.0-49.0)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15.0 (1.0-54.0)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Hibernating tissue, median (range)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Overall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4.0 (0.0-21.0)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2.0 (0.0-21.0)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Area of intervention in n hibernating segments 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1.0 (0.0-5.0)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0.0 (0.0-4.5)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Coronary flow reserve, median (range)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Overall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1.6 (1.1-2.5)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1.7 (0.9-3.5)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Area of intervention 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1.3 (0.8-2.2)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1.7 (0.9-3.2)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Myocardial glucose uptake during in µmol/min/100g tissue, median (range)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Overall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25.6 (9.7-42.3)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29.4 (10.4-48.9)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Remote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29.2 (11.7-44.7)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34.4 (17.6-64.9)</w:t>
            </w:r>
          </w:p>
        </w:tc>
      </w:tr>
      <w:tr w:rsidR="00EA493B"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Area of intervention ‡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27.3 (9.6-44.5)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28.1 (8.5-44.2)</w:t>
            </w:r>
          </w:p>
        </w:tc>
      </w:tr>
    </w:tbl>
    <w:p w:rsidR="00EA493B" w:rsidRDefault="00EA493B"/>
    <w:p w:rsidR="00EA493B" w:rsidRDefault="00EF2B62">
      <w:pPr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Abbreviations: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CABG, coronary artery bypass grafting; CTO, chronic total occlusion; HEC, hyperinsulinemic euglycemic clamp; LAD, left anterior desce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ndent artery; LCx, left circumflex artery; PCI, percutaneous coronary intervention; RCA, right coronary artery; SD, standard deviation. </w:t>
      </w:r>
      <w:r>
        <w:rPr>
          <w:rFonts w:ascii="Times New Roman" w:eastAsia="Times New Roman" w:hAnsi="Times New Roman" w:cs="Times New Roman"/>
          <w:color w:val="000000"/>
          <w:sz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Notes: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Prespecified analysis. Not presented in paper as it did not add any new insights. * † ‡ See table 1 footnotes in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manuscript.</w:t>
      </w:r>
    </w:p>
    <w:p w:rsidR="00EA493B" w:rsidRDefault="00EA493B">
      <w:pPr>
        <w:sectPr w:rsidR="00EA493B">
          <w:footerReference w:type="default" r:id="rId6"/>
          <w:pgSz w:w="11907" w:h="16839" w:code="9"/>
          <w:pgMar w:top="1440" w:right="1440" w:bottom="1440" w:left="1440" w:header="708" w:footer="708" w:gutter="0"/>
          <w:cols w:space="708"/>
        </w:sectPr>
      </w:pPr>
    </w:p>
    <w:p w:rsidR="00EA493B" w:rsidRDefault="00EF2B62">
      <w:pPr>
        <w:pStyle w:val="Heading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ROC AUC sensitivity analysis stratified by patient characteristics</w:t>
      </w:r>
    </w:p>
    <w:tbl>
      <w:tblPr>
        <w:tblStyle w:val="TableGrid"/>
        <w:tblW w:w="14647" w:type="dxa"/>
        <w:tblLook w:val="04A0" w:firstRow="1" w:lastRow="0" w:firstColumn="1" w:lastColumn="0" w:noHBand="0" w:noVBand="1"/>
      </w:tblPr>
      <w:tblGrid>
        <w:gridCol w:w="1549"/>
        <w:gridCol w:w="1102"/>
        <w:gridCol w:w="1386"/>
        <w:gridCol w:w="1374"/>
        <w:gridCol w:w="1285"/>
        <w:gridCol w:w="1186"/>
        <w:gridCol w:w="1371"/>
        <w:gridCol w:w="1798"/>
        <w:gridCol w:w="1798"/>
        <w:gridCol w:w="1798"/>
      </w:tblGrid>
      <w:tr w:rsidR="00EA493B" w:rsidTr="001B22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</w:tcPr>
          <w:p w:rsidR="00EA493B" w:rsidRDefault="00EA493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N EF improved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/N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Hibernating tissue in %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Overall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Hibernating tissue in n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Area of intervention *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Scar tissue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Coronary flow reserve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Overall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Coronary flow reserve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Area of intervention 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MGU during HEC in µmol/min/100g tissue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Overall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MGU during HEC in µmol/min/100g 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issue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Remote area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MGU during HEC in µmol/min/100g tissue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Area of intervention ‡</w:t>
            </w: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Overall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26/44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0.34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(0.17-0.50)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0.38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(0.22-0.54)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0.50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(0.32-0.68)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0.48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(0.29-0.67)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0.57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(0.37-0.77)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0.53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(0.35-0.71)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0.51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(0.33-0.70)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0.47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(0.29-0.66)</w:t>
            </w: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Patient characteristics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23/39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0.35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(0.17-0.52)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0.41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(0.24-0.58)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0.49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(0.30-0.68)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0.46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(0.26-0.66)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0.50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(0.29-0.71)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0.52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(0.32-0.72)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0.50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(0.30-0.71)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0.48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(0.27-0.68)</w:t>
            </w: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Women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0.25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(0.00-0.77)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0.25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(0.00-0.77)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0.50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0.75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(0.06-1.00)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1.00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(1.00-1.00)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0.50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0.67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(0.01-1.00)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0.33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(0.00-0.99)</w:t>
            </w: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Diabetes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7/13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0.31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(0.00-0.64)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0.32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(0.00-0.65)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0.79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(0.51-1.00)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0.33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(0.00-0.71)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0.42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(0.00-0.88)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0.76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(0.43-1.00)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0.76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(0.43-1.00)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0.62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(0.26-0.97)</w:t>
            </w: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19/31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0.36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(0.15-0.56)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0.42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(0.22-0.61)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0.37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(0.17-0.57)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0.54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(0.31-0.77)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0.63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(0.39-0.87)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0.43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(0.22-0.65)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0.36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(0.16-0.56)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0.38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(0.17-0.60)</w:t>
            </w: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Cardiac status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Pre-intervention 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Below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11/16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0.48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(0.15-0.82)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0.55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(0.23-0.87)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0.42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(0.01-0.83)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0.69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(0.35-1.00)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0.93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(0.76-1.00)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0.64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(0.32-0.96)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0.62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(0.31-0.93)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0.49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(0.15-0.84)</w:t>
            </w: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Above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15/28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0.29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(0.09-0.49)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0.33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(0.13-0.52)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0.47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(0.24-0.69)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0.44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(0.19-0.6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0.48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(0.23-0.73)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0.46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(0.23-0.70)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0.44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(0.21-0.68)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0.43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(0.20-0.66)</w:t>
            </w: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Area of intervention, n (%)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LAD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5/9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0.58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(0.15-1.00)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0.50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(0.07-0.93)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0.25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(0.00-0.68)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0.58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0.50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0.55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(0.08-1.00)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0.40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(0.00-0.89)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0.45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(0.00-0.92)</w:t>
            </w: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LCx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3/8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0.13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(0.00-0.44)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0.20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(0.00-0.44)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0.53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0.67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(0.01-1.00)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0.93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(0.75-1.00)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0.47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0.40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0.40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(0.00-1.00)</w:t>
            </w: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3/7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0.12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(0.00-0.41)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0.37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(0.00-0.79)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0.25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(0.00-0.66)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0.78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(0.29-1.00)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0.56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0.83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(0.46-1.00)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0.75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(0.33-1.00)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0.67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(0.17-1.00)</w:t>
            </w: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lastRenderedPageBreak/>
              <w:t>- Multiple areas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15/20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0.36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(0.00-0.73)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0.39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(0.08-0.70)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0.56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(0.31-0.81)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0.21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(0.00-0.43)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0.29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(0.05-0.53)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0.47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(0.10-0.83)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0.53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(0.13-0.93)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0.48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(0.10-0.86)</w:t>
            </w: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Hibernation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EA493B" w:rsidRDefault="00EA493B">
            <w:pPr>
              <w:jc w:val="center"/>
            </w:pP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Hibernation above/below 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9/21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0.44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(0.17-0.72)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0.56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(0.29-0.82)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0.56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(0.30-0.81)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0.44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(0.12-0.76)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0.39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(0.08-0.70)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0.63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(0.37-0.88)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0.60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(0.35-0.86)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0.62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(0.37-0.87)</w:t>
            </w: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Median or below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17/23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0.50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(0.25-0.76)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0.56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(0.48-0.64)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0.42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(0.14-0.69)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0.49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(0.20-0.77)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0.64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(0.33-0.95)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0.30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(0.07-0.53)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0.29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(0.08-0.51)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0.22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(0.01-0.42)</w:t>
            </w: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Hibernation above/below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A493B">
            <w:pPr>
              <w:jc w:val="center"/>
            </w:pP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- 5 or above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7/16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0.44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(0.11-0.77)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0.54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(0.22-0.86)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0.50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(0.19-0.81)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0.47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(0.09-0.86)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0.44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(0.06-0.82)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0.67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(0.37-0.96)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0.63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(0.34-0.93)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0.67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(0.38-0.95)</w:t>
            </w:r>
          </w:p>
        </w:tc>
      </w:tr>
      <w:tr w:rsidR="00EA493B" w:rsidTr="001B22C8"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:rsidR="00EA493B" w:rsidRDefault="00EF2B6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- Below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19/28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0.39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(0.16-0.63)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0.43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(0.24-0.62)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0.49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(0.25-0.73)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0.48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(0.24-0.73)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0.64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(0.39-0.89)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0.35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(0.12-0.59)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0.33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(0.10-0.57)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center"/>
          </w:tcPr>
          <w:p w:rsidR="001B22C8" w:rsidRDefault="00EF2B6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0.30</w:t>
            </w:r>
          </w:p>
          <w:p w:rsidR="00EA493B" w:rsidRDefault="00EF2B62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(0.08-0.51)</w:t>
            </w:r>
          </w:p>
        </w:tc>
      </w:tr>
    </w:tbl>
    <w:p w:rsidR="00EA493B" w:rsidRDefault="00EA493B"/>
    <w:p w:rsidR="00EA493B" w:rsidRDefault="00EF2B62">
      <w:pPr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Abbreviations: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EF, ejection fraction; LAD, left anterior descendent artery; LCx, left circumflex artery; RCA, right coronary artery. </w:t>
      </w:r>
      <w:r>
        <w:rPr>
          <w:rFonts w:ascii="Times New Roman" w:eastAsia="Times New Roman" w:hAnsi="Times New Roman" w:cs="Times New Roman"/>
          <w:color w:val="000000"/>
          <w:sz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Notes: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Sensitivity analysis to check if AUC varied by patient characteristics. The analysis was prespecified in statistical analysis pla</w:t>
      </w:r>
      <w:r>
        <w:rPr>
          <w:rFonts w:ascii="Times New Roman" w:eastAsia="Times New Roman" w:hAnsi="Times New Roman" w:cs="Times New Roman"/>
          <w:color w:val="000000"/>
          <w:sz w:val="20"/>
        </w:rPr>
        <w:t>n. The analysis is mentioned but not not presented in paper as the analysis did not add any new insights. * † ‡ See table 1 footnotes in manuscript.</w:t>
      </w:r>
    </w:p>
    <w:p w:rsidR="00EA493B" w:rsidRDefault="00EA493B">
      <w:pPr>
        <w:sectPr w:rsidR="00EA493B">
          <w:footerReference w:type="default" r:id="rId7"/>
          <w:pgSz w:w="16839" w:h="11907" w:orient="landscape" w:code="9"/>
          <w:pgMar w:top="1440" w:right="1440" w:bottom="1440" w:left="1440" w:header="708" w:footer="708" w:gutter="0"/>
          <w:cols w:space="708"/>
        </w:sectPr>
      </w:pPr>
    </w:p>
    <w:p w:rsidR="00EA493B" w:rsidRDefault="00EF2B62">
      <w:pPr>
        <w:pStyle w:val="Heading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ROC curves for predicting LVEF-improvement of 10% or above</w:t>
      </w:r>
    </w:p>
    <w:p w:rsidR="00EA493B" w:rsidRDefault="00EF2B62">
      <w:pPr>
        <w:jc w:val="center"/>
      </w:pPr>
      <w:r>
        <w:rPr>
          <w:noProof/>
          <w:lang w:val="da-DK" w:eastAsia="da-DK"/>
        </w:rPr>
        <w:drawing>
          <wp:inline distT="0" distB="0" distL="0" distR="0">
            <wp:extent cx="5732145" cy="573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3B" w:rsidRDefault="00EF2B62">
      <w:pPr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Abbreviations: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EF, ejection fraction; HEC, hyperinsulinemic euglycemic clamp; MGU, myocardial glucose uptake; ROC, receiver operator curve. </w:t>
      </w:r>
      <w:r>
        <w:rPr>
          <w:rFonts w:ascii="Times New Roman" w:eastAsia="Times New Roman" w:hAnsi="Times New Roman" w:cs="Times New Roman"/>
          <w:color w:val="000000"/>
          <w:sz w:val="20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Notes: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Secondary outcome, described but not presented </w:t>
      </w:r>
      <w:r>
        <w:rPr>
          <w:rFonts w:ascii="Times New Roman" w:eastAsia="Times New Roman" w:hAnsi="Times New Roman" w:cs="Times New Roman"/>
          <w:color w:val="000000"/>
          <w:sz w:val="20"/>
        </w:rPr>
        <w:t>in paper. * † ‡ See table 1 footnotes in manuscript.</w:t>
      </w:r>
    </w:p>
    <w:sectPr w:rsidR="00EA493B">
      <w:footerReference w:type="default" r:id="rId9"/>
      <w:pgSz w:w="11907" w:h="16839" w:code="9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B62" w:rsidRDefault="00EF2B62">
      <w:pPr>
        <w:spacing w:after="0" w:line="240" w:lineRule="auto"/>
      </w:pPr>
      <w:r>
        <w:separator/>
      </w:r>
    </w:p>
  </w:endnote>
  <w:endnote w:type="continuationSeparator" w:id="0">
    <w:p w:rsidR="00EF2B62" w:rsidRDefault="00EF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93B" w:rsidRDefault="00EF2B62">
    <w:r>
      <w:t xml:space="preserve">Page </w:t>
    </w:r>
    <w:r>
      <w:rPr>
        <w:b/>
      </w:rPr>
      <w:fldChar w:fldCharType="begin"/>
    </w:r>
    <w:r>
      <w:rPr>
        <w:b/>
      </w:rPr>
      <w:instrText xml:space="preserve"> PAGE \* MERGEFORMAT </w:instrText>
    </w:r>
    <w:r w:rsidR="001B22C8">
      <w:rPr>
        <w:b/>
      </w:rPr>
      <w:fldChar w:fldCharType="separate"/>
    </w:r>
    <w:r w:rsidR="001B22C8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\* MERGEFORMAT </w:instrText>
    </w:r>
    <w:r w:rsidR="001B22C8">
      <w:rPr>
        <w:b/>
      </w:rPr>
      <w:fldChar w:fldCharType="separate"/>
    </w:r>
    <w:r w:rsidR="001B22C8">
      <w:rPr>
        <w:b/>
        <w:noProof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93B" w:rsidRDefault="00EF2B62">
    <w:r>
      <w:t xml:space="preserve">Page </w:t>
    </w:r>
    <w:r>
      <w:rPr>
        <w:b/>
      </w:rPr>
      <w:fldChar w:fldCharType="begin"/>
    </w:r>
    <w:r>
      <w:rPr>
        <w:b/>
      </w:rPr>
      <w:instrText xml:space="preserve"> PAGE \* MERGEFORMAT </w:instrText>
    </w:r>
    <w:r w:rsidR="001B22C8">
      <w:rPr>
        <w:b/>
      </w:rPr>
      <w:fldChar w:fldCharType="separate"/>
    </w:r>
    <w:r w:rsidR="001B22C8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\* MERGEFORMAT </w:instrText>
    </w:r>
    <w:r w:rsidR="001B22C8">
      <w:rPr>
        <w:b/>
      </w:rPr>
      <w:fldChar w:fldCharType="separate"/>
    </w:r>
    <w:r w:rsidR="001B22C8">
      <w:rPr>
        <w:b/>
        <w:noProof/>
      </w:rPr>
      <w:t>4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93B" w:rsidRDefault="00EF2B62">
    <w:r>
      <w:t xml:space="preserve">Page </w:t>
    </w:r>
    <w:r>
      <w:rPr>
        <w:b/>
      </w:rPr>
      <w:fldChar w:fldCharType="begin"/>
    </w:r>
    <w:r>
      <w:rPr>
        <w:b/>
      </w:rPr>
      <w:instrText xml:space="preserve"> PAGE \* MERGEFORMAT </w:instrText>
    </w:r>
    <w:r w:rsidR="001B22C8">
      <w:rPr>
        <w:b/>
      </w:rPr>
      <w:fldChar w:fldCharType="separate"/>
    </w:r>
    <w:r w:rsidR="001B22C8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\* MERGEFORMAT </w:instrText>
    </w:r>
    <w:r w:rsidR="001B22C8">
      <w:rPr>
        <w:b/>
      </w:rPr>
      <w:fldChar w:fldCharType="separate"/>
    </w:r>
    <w:r w:rsidR="001B22C8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B62" w:rsidRDefault="00EF2B62">
      <w:pPr>
        <w:spacing w:after="0" w:line="240" w:lineRule="auto"/>
      </w:pPr>
      <w:r>
        <w:separator/>
      </w:r>
    </w:p>
  </w:footnote>
  <w:footnote w:type="continuationSeparator" w:id="0">
    <w:p w:rsidR="00EF2B62" w:rsidRDefault="00EF2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EA493B"/>
    <w:rsid w:val="001B22C8"/>
    <w:rsid w:val="00EA493B"/>
    <w:rsid w:val="00EF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F6C038E-08B1-47E8-B570-F2406ACF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800</Words>
  <Characters>4884</Characters>
  <Application>Microsoft Office Word</Application>
  <DocSecurity>0</DocSecurity>
  <Lines>40</Lines>
  <Paragraphs>11</Paragraphs>
  <ScaleCrop>false</ScaleCrop>
  <Company>Aarhus University</Company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Ladefoged Ebbehøj</cp:lastModifiedBy>
  <cp:revision>2</cp:revision>
  <dcterms:created xsi:type="dcterms:W3CDTF">2022-04-16T19:47:00Z</dcterms:created>
  <dcterms:modified xsi:type="dcterms:W3CDTF">2022-04-16T19:49:00Z</dcterms:modified>
</cp:coreProperties>
</file>