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9.png" ContentType="image/png"/>
  <Override PartName="/word/media/rId44.png" ContentType="image/png"/>
  <Override PartName="/word/media/rId5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two-compartment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80%, respectively, were predicted. Reductions in IL-6 AUC and weight-loss AUC of approximately 70% were observed for both doses, with marginal additional benefit above 1 mg/kg. In contrast, for viral load, a plateau in dose responsiveness was not observed until approximately 1,000 mg/kg. Delays in treatment initiation to day 2 or 3 post-infection were predicted to markedly reduce efficacy, and increased dosing was not able to fully compensate for the delay. By contrast, reduced dosing frequency was associated with a more modest loss of efficacy. Once-daily dosing produced only a minor reduction in effect compared to twice-daily dosing, and even a single dose administered on day 1 resulted in a measurable therapeutic effect, which could be enhanced through dose escalation.</w:t>
      </w:r>
    </w:p>
    <w:p>
      <w:pPr>
        <w:pStyle w:val="BodyText"/>
      </w:pPr>
      <w:r>
        <w:rPr>
          <w:b/>
          <w:bCs/>
        </w:rPr>
        <w:t xml:space="preserve">Conclusions:</w:t>
      </w:r>
      <w:r>
        <w:t xml:space="preserve"> </w:t>
      </w:r>
      <w:r>
        <w:t xml:space="preserve">The QSP model predicted that (i) the timing of treatment initiation is the primary determinant of probenecid efficacy, (ii) once-daily dosing regimens may be feasible with minimal compromise in antiviral or anti-inflammatory effect, and (iii) delayed treatment (≥48 hours post-infection) is unlikely to be rescued by dose escalation. Although the model was developed based on murine data and may require further validation in more biologically relevant models such as ferrets,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(HDA)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8"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Since most measurements involved destructive sampling (one mouse per timepoint), and identifiers for specific animals were not recorded, individual level information is unavailable, which precludes individual-level fits. For more details on the data, please refer to the original publication.</w:t>
      </w:r>
    </w:p>
    <w:bookmarkEnd w:id="24"/>
    <w:bookmarkStart w:id="35"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0.43</m:t>
        </m:r>
        <m:r>
          <m:rPr>
            <m:sty m:val="p"/>
          </m:rPr>
          <m:t>/</m:t>
        </m:r>
        <m:r>
          <m:t>h</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60</m:t>
        </m:r>
        <m:r>
          <m:t>μ</m:t>
        </m:r>
        <m:r>
          <m:rPr>
            <m:nor/>
            <m:sty m:val="p"/>
          </m:rPr>
          <m:t>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1.6</m:t>
        </m:r>
        <m:r>
          <m:rPr>
            <m:nor/>
            <m:sty m:val="p"/>
          </m:rPr>
          <m:t>mg/h</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0.36</m:t>
        </m:r>
        <m:r>
          <m:rPr>
            <m:nor/>
            <m:sty m:val="p"/>
          </m:rPr>
          <m:t>mL/h</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4" w:name="qsp-component"/>
    <w:p>
      <w:pPr>
        <w:pStyle w:val="Heading3"/>
      </w:pPr>
      <w:r>
        <w:t xml:space="preserve">QSP component</w:t>
      </w:r>
    </w:p>
    <w:p>
      <w:pPr>
        <w:pStyle w:val="FirstParagraph"/>
      </w:pPr>
      <w:r>
        <w:t xml:space="preserve">An acute viral infection was modeled, and the dynamics of uninfected cells, infected cells, virus, the innate immune response, the adaptive immune response, and symptoms were tracked. A structure similar to those previously used by us and others to describe the dynamics of influenza infections was adopted</w:t>
      </w:r>
      <w:r>
        <w:t xml:space="preserve"> </w:t>
      </w:r>
      <w:r>
        <w:t xml:space="preserve">(29–35)</w:t>
      </w:r>
      <w:r>
        <w:t xml:space="preserve">. The model is illustrated schematically in</w:t>
      </w:r>
      <w:r>
        <w:t xml:space="preserve"> </w:t>
      </w:r>
      <w:hyperlink w:anchor="fig-model">
        <w:r>
          <w:rPr>
            <w:rStyle w:val="Hyperlink"/>
          </w:rPr>
          <w:t xml:space="preserve">Figure 1</w:t>
        </w:r>
      </w:hyperlink>
      <w:r>
        <w:t xml:space="preserve"> </w:t>
      </w:r>
      <w:r>
        <w:t xml:space="preserve">and given mathematically by the following set of ordinary differential equations:</w:t>
      </w:r>
    </w:p>
    <w:p>
      <w:pPr>
        <w:pStyle w:val="BodyText"/>
      </w:pPr>
      <w:bookmarkStart w:id="29" w:name="eq-qsp"/>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t>V</m:t>
                    </m:r>
                  </m:num>
                  <m:den>
                    <m:r>
                      <m:t>V</m:t>
                    </m:r>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r>
                      <m:t>V</m:t>
                    </m:r>
                  </m:num>
                  <m:den>
                    <m:r>
                      <m:t>F</m:t>
                    </m:r>
                    <m:r>
                      <m:t>V</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tbl>
      <w:tblPr>
        <w:tblStyle w:val="Table"/>
        <w:tblW w:type="pct" w:w="5000"/>
        <w:tblLayout w:type="fixed"/>
        <w:tblLook w:firstRow="0" w:lastRow="0" w:firstColumn="0" w:lastColumn="0" w:noHBand="0" w:noVBand="0" w:val="0000"/>
      </w:tblPr>
      <w:tblGrid>
        <w:gridCol w:w="7920"/>
      </w:tblGrid>
      <w:tr>
        <w:tc>
          <w:tcPr/>
          <w:bookmarkStart w:id="33" w:name="fig-model"/>
          <w:p>
            <w:pPr>
              <w:pStyle w:val="Compact"/>
              <w:jc w:val="center"/>
            </w:pPr>
            <w:r>
              <w:drawing>
                <wp:inline>
                  <wp:extent cx="5334000" cy="3333749"/>
                  <wp:effectExtent b="0" l="0" r="0" t="0"/>
                  <wp:docPr descr="" title="" id="31" name="Picture"/>
                  <a:graphic>
                    <a:graphicData uri="http://schemas.openxmlformats.org/drawingml/2006/picture">
                      <pic:pic>
                        <pic:nvPicPr>
                          <pic:cNvPr descr="../../assets/model-diagram.png" id="32" name="Picture"/>
                          <pic:cNvPicPr>
                            <a:picLocks noChangeArrowheads="1" noChangeAspect="1"/>
                          </pic:cNvPicPr>
                        </pic:nvPicPr>
                        <pic:blipFill>
                          <a:blip r:embed="rId3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 S,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3"/>
        </w:tc>
      </w:tr>
    </w:tbl>
    <w:bookmarkEnd w:id="34"/>
    <w:bookmarkEnd w:id="35"/>
    <w:bookmarkStart w:id="36" w:name="fitting-procedure"/>
    <w:p>
      <w:pPr>
        <w:pStyle w:val="Heading2"/>
      </w:pPr>
      <w:r>
        <w:t xml:space="preserve">Fitting procedure</w:t>
      </w:r>
    </w:p>
    <w:p>
      <w:pPr>
        <w:pStyle w:val="FirstParagraph"/>
      </w:pPr>
      <w:r>
        <w:t xml:space="preserve">Some of the PK and PD parameters were fixed as described above. To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w:t>
      </w:r>
      <w:r>
        <w:t xml:space="preserve">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innate response, and symptoms were fit to the data for log virus load, IL6 and percent weight loss from the H5N1 mouse study. The model was simultaneously fit to all three variables across the three treatment conditions (untreated, 10 mg, 100 mg). Since a large fraction of the data was obtained by destructive sampling of the animals, a mixed-effects approach that accounts for longitudinal sampling was not feasible. Instead, a maximum likelihood approach was used, assuming a normal distribution with additive errors and independent variances for the three fitted quantities. Since sample size across measured quantities was uneven, and to ensure virus load and IL6 data had comparable impact on the fit, each variable was weighted by the inverse sample size.</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k</m:t>
              </m:r>
            </m:sub>
            <m:sup>
              <m:r>
                <m:t>​</m:t>
              </m:r>
            </m:sup>
            <m:e>
              <m:f>
                <m:fPr>
                  <m:type m:val="bar"/>
                </m:fPr>
                <m:num>
                  <m:r>
                    <m:t>1</m:t>
                  </m:r>
                </m:num>
                <m:den>
                  <m:sSub>
                    <m:e>
                      <m:r>
                        <m:t>N</m:t>
                      </m:r>
                    </m:e>
                    <m:sub>
                      <m:r>
                        <m:t>k</m:t>
                      </m:r>
                    </m:sub>
                  </m:sSub>
                </m:den>
              </m:f>
            </m:e>
          </m:nary>
          <m:sSub>
            <m:e>
              <m:r>
                <m:rPr>
                  <m:nor/>
                  <m:sty m:val="p"/>
                </m:rPr>
                <m:t>NLL</m:t>
              </m:r>
            </m:e>
            <m:sub>
              <m:r>
                <m:t>k</m:t>
              </m:r>
            </m:sub>
          </m:sSub>
        </m:oMath>
      </m:oMathPara>
    </w:p>
    <w:p>
      <w:pPr>
        <w:pStyle w:val="FirstParagraph"/>
      </w:pPr>
      <w:r>
        <w:t xml:space="preserve">where</w:t>
      </w:r>
      <w:r>
        <w:t xml:space="preserve"> </w:t>
      </w:r>
      <m:oMath>
        <m:sSub>
          <m:e>
            <m:r>
              <m:t>N</m:t>
            </m:r>
          </m:e>
          <m:sub>
            <m:r>
              <m:t>k</m:t>
            </m:r>
          </m:sub>
        </m:sSub>
      </m:oMath>
      <w:r>
        <w:t xml:space="preserve"> </w:t>
      </w:r>
      <w:r>
        <w:t xml:space="preserve">is the number of data points for variable</w:t>
      </w:r>
      <w:r>
        <w:t xml:space="preserve"> </w:t>
      </w:r>
      <m:oMath>
        <m:r>
          <m:t>k</m:t>
        </m:r>
      </m:oMath>
      <w:r>
        <w:t xml:space="preserve">, and</w:t>
      </w:r>
      <w:r>
        <w:t xml:space="preserve"> </w:t>
      </w:r>
      <m:oMath>
        <m:sSub>
          <m:e>
            <m:r>
              <m:rPr>
                <m:nor/>
                <m:sty m:val="p"/>
              </m:rPr>
              <m:t>NLL</m:t>
            </m:r>
          </m:e>
          <m:sub>
            <m:r>
              <m:t>k</m:t>
            </m:r>
          </m:sub>
        </m:sSub>
      </m:oMath>
      <w:r>
        <w:t xml:space="preserve"> </w:t>
      </w:r>
      <w:r>
        <w:t xml:space="preserve">is the (non-normalized) negative log-likelihood term for each variable, given by</w:t>
      </w:r>
    </w:p>
    <w:p>
      <w:pPr>
        <w:pStyle w:val="BodyText"/>
      </w:pPr>
      <m:oMathPara>
        <m:oMathParaPr>
          <m:jc m:val="center"/>
        </m:oMathParaPr>
        <m:oMath>
          <m:sSub>
            <m:e>
              <m:r>
                <m:rPr>
                  <m:nor/>
                  <m:sty m:val="p"/>
                </m:rPr>
                <m:t>NLL</m:t>
              </m:r>
            </m:e>
            <m:sub>
              <m:r>
                <m:t>k</m:t>
              </m:r>
            </m:sub>
          </m:sSub>
          <m:r>
            <m:rPr>
              <m:sty m:val="p"/>
            </m:rPr>
            <m:t>=</m:t>
          </m:r>
          <m:nary>
            <m:naryPr>
              <m:chr m:val="∑"/>
              <m:limLoc m:val="undOvr"/>
              <m:subHide m:val="off"/>
              <m:supHide m:val="on"/>
            </m:naryPr>
            <m:sub>
              <m:r>
                <m:t>i</m:t>
              </m:r>
              <m:r>
                <m:rPr>
                  <m:sty m:val="p"/>
                </m:rPr>
                <m:t>,</m:t>
              </m:r>
              <m:r>
                <m:t>j</m:t>
              </m:r>
            </m:sub>
            <m:sup>
              <m:r>
                <m:t>​</m:t>
              </m:r>
            </m:sup>
            <m:e>
              <m:sSup>
                <m:e>
                  <m:d>
                    <m:dPr>
                      <m:begChr m:val="("/>
                      <m:sepChr m:val=""/>
                      <m:endChr m:val=")"/>
                      <m:grow/>
                    </m:dPr>
                    <m:e>
                      <m:r>
                        <m:rPr>
                          <m:sty m:val="p"/>
                        </m:rPr>
                        <m:t>log</m:t>
                      </m:r>
                      <m:d>
                        <m:dPr>
                          <m:begChr m:val="("/>
                          <m:sepChr m:val=""/>
                          <m:endChr m:val=")"/>
                          <m:grow/>
                        </m:dPr>
                        <m:e>
                          <m:sSub>
                            <m:e>
                              <m:r>
                                <m:t>σ</m:t>
                              </m:r>
                            </m:e>
                            <m:sub>
                              <m:r>
                                <m:t>k</m:t>
                              </m:r>
                            </m:sub>
                          </m:sSub>
                        </m:e>
                      </m:d>
                      <m:r>
                        <m:rPr>
                          <m:sty m:val="p"/>
                        </m:rPr>
                        <m:t>+</m:t>
                      </m:r>
                      <m:f>
                        <m:fPr>
                          <m:type m:val="bar"/>
                        </m:fPr>
                        <m:num>
                          <m:d>
                            <m:dPr>
                              <m:begChr m:val="("/>
                              <m:sepChr m:val=""/>
                              <m:endChr m:val=")"/>
                              <m:grow/>
                            </m:dPr>
                            <m:e>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e>
                          </m:d>
                        </m:num>
                        <m:den>
                          <m:sSub>
                            <m:e>
                              <m:r>
                                <m:t>σ</m:t>
                              </m:r>
                            </m:e>
                            <m:sub>
                              <m:r>
                                <m:t>k</m:t>
                              </m:r>
                            </m:sub>
                          </m:sSub>
                        </m:den>
                      </m:f>
                    </m:e>
                  </m:d>
                </m:e>
                <m:sup>
                  <m:r>
                    <m:t>2</m:t>
                  </m:r>
                </m:sup>
              </m:sSup>
            </m:e>
          </m:nary>
        </m:oMath>
      </m:oMathPara>
    </w:p>
    <w:p>
      <w:pPr>
        <w:pStyle w:val="FirstParagraph"/>
      </w:pPr>
      <w:r>
        <w:t xml:space="preserve">The terms</w:t>
      </w:r>
      <w:r>
        <w:t xml:space="preserve"> </w:t>
      </w:r>
      <m:oMath>
        <m:sSub>
          <m:e>
            <m:r>
              <m:t>σ</m:t>
            </m:r>
          </m:e>
          <m:sub>
            <m:r>
              <m:t>k</m:t>
            </m:r>
          </m:sub>
        </m:sSub>
      </m:oMath>
      <w:r>
        <w:t xml:space="preserve"> </w:t>
      </w:r>
      <w:r>
        <w:t xml:space="preserve">are the variances for each variable,</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in treatment condition</w:t>
      </w:r>
      <w:r>
        <w:t xml:space="preserve"> </w:t>
      </w:r>
      <m:oMath>
        <m:r>
          <m:t>j</m:t>
        </m:r>
      </m:oMath>
      <w:r>
        <w:t xml:space="preserve"> </w:t>
      </w:r>
      <w:r>
        <w:t xml:space="preserve">for variable</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6"/>
    <w:bookmarkStart w:id="37"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7"/>
    <w:bookmarkEnd w:id="38"/>
    <w:bookmarkStart w:id="59" w:name="results"/>
    <w:p>
      <w:pPr>
        <w:pStyle w:val="Heading1"/>
      </w:pPr>
      <w:r>
        <w:t xml:space="preserve">Results</w:t>
      </w:r>
    </w:p>
    <w:bookmarkStart w:id="43"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2" w:name="fig-bestfit"/>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bestfit1.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2"/>
        </w:tc>
      </w:tr>
    </w:tbl>
    <w:bookmarkEnd w:id="43"/>
    <w:bookmarkStart w:id="48"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In the experimental setup, doses of 10mg and 100mg were administered. The model was used to simulate a wide range of doses from 0.001mg/kg to 1,000mg/kg,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the total log virus load declined fairly rapidly between 10 and 100mg/kg. In contrast, the innate response and morbidity exhibited their greatest reductions at lower doses, and showed minimal changes beyond 1mg/kg. It should be noted that a dose of 10mg/kg corresponds to around 700mg for humans, which approaches the FDA approved maximum dose of 1,000mg twice per day (or 2,000mg per day).</w:t>
      </w:r>
    </w:p>
    <w:tbl>
      <w:tblPr>
        <w:tblStyle w:val="Table"/>
        <w:tblW w:type="pct" w:w="5000"/>
        <w:tblLayout w:type="fixed"/>
        <w:tblLook w:firstRow="0" w:lastRow="0" w:firstColumn="0" w:lastColumn="0" w:noHBand="0" w:noVBand="0" w:val="0000"/>
      </w:tblPr>
      <w:tblGrid>
        <w:gridCol w:w="7920"/>
      </w:tblGrid>
      <w:tr>
        <w:tc>
          <w:tcPr/>
          <w:bookmarkStart w:id="47" w:name="fig-dosepred"/>
          <w:p>
            <w:pPr>
              <w:pStyle w:val="Compact"/>
              <w:jc w:val="center"/>
            </w:pPr>
            <w:r>
              <w:drawing>
                <wp:inline>
                  <wp:extent cx="5334000" cy="1778000"/>
                  <wp:effectExtent b="0" l="0" r="0" t="0"/>
                  <wp:docPr descr="" title="" id="45" name="Picture"/>
                  <a:graphic>
                    <a:graphicData uri="http://schemas.openxmlformats.org/drawingml/2006/picture">
                      <pic:pic>
                        <pic:nvPicPr>
                          <pic:cNvPr descr="../../results/figures/dose-response-baseline.png" id="46" name="Picture"/>
                          <pic:cNvPicPr>
                            <a:picLocks noChangeArrowheads="1" noChangeAspect="1"/>
                          </pic:cNvPicPr>
                        </pic:nvPicPr>
                        <pic:blipFill>
                          <a:blip r:embed="rId4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doses of 1, 10 and 100mg is shown in the supplement.</w:t>
            </w:r>
          </w:p>
          <w:bookmarkEnd w:id="47"/>
        </w:tc>
      </w:tr>
    </w:tbl>
    <w:bookmarkEnd w:id="48"/>
    <w:bookmarkStart w:id="53"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No dose within the tested range was able to replicate this effect when treatment was delayed until day 3. Similarly, increased dosing did not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dosepred2"/>
          <w:p>
            <w:pPr>
              <w:pStyle w:val="Compact"/>
              <w:jc w:val="center"/>
            </w:pPr>
            <w:r>
              <w:drawing>
                <wp:inline>
                  <wp:extent cx="5334000" cy="1778000"/>
                  <wp:effectExtent b="0" l="0" r="0" t="0"/>
                  <wp:docPr descr="" title="" id="50" name="Picture"/>
                  <a:graphic>
                    <a:graphicData uri="http://schemas.openxmlformats.org/drawingml/2006/picture">
                      <pic:pic>
                        <pic:nvPicPr>
                          <pic:cNvPr descr="../../results/figures/dose-response-txstart.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doses of 1, 10 and 100mg for both day 2 and day 3 treatment start are shown in the supplement.</w:t>
            </w:r>
          </w:p>
          <w:bookmarkEnd w:id="52"/>
        </w:tc>
      </w:tr>
    </w:tbl>
    <w:bookmarkEnd w:id="53"/>
    <w:bookmarkStart w:id="58"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Interestingly, reducing the dosing frequency from twice daily to once daily did not lead to a marked reduction in efficacy. Furthermore, even a single-dose regimen administered on day 1 was able to produce substantial reductions in viral load, innate immune response, and morbidity when the dose was increased appropriately. Overall, reduced dosing frequency was found to have a significantly smaller impact on treatment efficacy than delayed initiation of treatment.</w:t>
      </w:r>
    </w:p>
    <w:tbl>
      <w:tblPr>
        <w:tblStyle w:val="Table"/>
        <w:tblW w:type="pct" w:w="5000"/>
        <w:tblLayout w:type="fixed"/>
        <w:tblLook w:firstRow="0" w:lastRow="0" w:firstColumn="0" w:lastColumn="0" w:noHBand="0" w:noVBand="0" w:val="0000"/>
      </w:tblPr>
      <w:tblGrid>
        <w:gridCol w:w="7920"/>
      </w:tblGrid>
      <w:tr>
        <w:tc>
          <w:tcPr/>
          <w:bookmarkStart w:id="57" w:name="fig-dosepred3"/>
          <w:p>
            <w:pPr>
              <w:pStyle w:val="Compact"/>
              <w:jc w:val="center"/>
            </w:pPr>
            <w:r>
              <w:drawing>
                <wp:inline>
                  <wp:extent cx="5334000" cy="1778000"/>
                  <wp:effectExtent b="0" l="0" r="0" t="0"/>
                  <wp:docPr descr="" title="" id="55" name="Picture"/>
                  <a:graphic>
                    <a:graphicData uri="http://schemas.openxmlformats.org/drawingml/2006/picture">
                      <pic:pic>
                        <pic:nvPicPr>
                          <pic:cNvPr descr="../../results/figures/dose-response-txinterval.png" id="56"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Outcomes for different dosing frequencies. Compared to twice daily dosing, daily dosing leads to very similar results, and even single dosing does not lead to marked reduce of efficacy. Figures with the time-series of all variables for doses of 1, 10 and 100mg for both daily and single dosing are shown in the supplement.</w:t>
            </w:r>
          </w:p>
          <w:bookmarkEnd w:id="57"/>
        </w:tc>
      </w:tr>
    </w:tbl>
    <w:bookmarkEnd w:id="58"/>
    <w:bookmarkEnd w:id="59"/>
    <w:bookmarkStart w:id="60"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 of our study is that the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no drug concentration data and limited immune response data, and the model is fit to IL-6, as a proxy for the overall innate response. Further measurements of additional immune markers could further strengthen model discrimination.</w:t>
      </w:r>
    </w:p>
    <w:p>
      <w:pPr>
        <w:pStyle w:val="BodyText"/>
      </w:pPr>
      <w:r>
        <w:t xml:space="preserve">Overall, our modelling indicates that (i) early probenecid administration is critical, (ii) higher daily doses can offset reduced dosing frequency but not late treatment, and (iii) assuming transferability of the mouse system and model to humans, clinically achievable exposures should translate into meaningful reductions in viral burden and disease severity. Together with accumulating in-vitro and in-vivo evidence of broad antiviral activity, these findings support advancing probenecid into controlled influenza trials and showcase the value of QSP approaches in accelerating drug-repurposing campaigns.</w:t>
      </w:r>
    </w:p>
    <w:bookmarkEnd w:id="60"/>
    <w:bookmarkStart w:id="61"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1"/>
    <w:bookmarkStart w:id="149" w:name="references"/>
    <w:p>
      <w:pPr>
        <w:pStyle w:val="Heading1"/>
      </w:pPr>
      <w:r>
        <w:t xml:space="preserve">References</w:t>
      </w:r>
    </w:p>
    <w:bookmarkStart w:id="148" w:name="refs"/>
    <w:bookmarkStart w:id="63" w:name="ref-maleki2023"/>
    <w:p>
      <w:pPr>
        <w:pStyle w:val="Bibliography"/>
      </w:pPr>
      <w:r>
        <w:t xml:space="preserve">1.</w:t>
      </w:r>
      <w:r>
        <w:t xml:space="preserve"> </w:t>
      </w:r>
      <w:r>
        <w:t xml:space="preserve">	</w:t>
      </w:r>
      <w:r>
        <w:t xml:space="preserve">Maleki F, Welch V, Lopez SMC, et al.</w:t>
      </w:r>
      <w:r>
        <w:t xml:space="preserve"> </w:t>
      </w:r>
      <w:hyperlink r:id="rId62">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3"/>
    <w:bookmarkStart w:id="65" w:name="ref-bonomini2025"/>
    <w:p>
      <w:pPr>
        <w:pStyle w:val="Bibliography"/>
      </w:pPr>
      <w:r>
        <w:t xml:space="preserve">2.</w:t>
      </w:r>
      <w:r>
        <w:t xml:space="preserve"> </w:t>
      </w:r>
      <w:r>
        <w:t xml:space="preserve">	</w:t>
      </w:r>
      <w:r>
        <w:t xml:space="preserve">Bonomini A, Mercorelli B, Loregian A.</w:t>
      </w:r>
      <w:r>
        <w:t xml:space="preserve"> </w:t>
      </w:r>
      <w:hyperlink r:id="rId64">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5"/>
    <w:bookmarkStart w:id="67" w:name="ref-hussain2025"/>
    <w:p>
      <w:pPr>
        <w:pStyle w:val="Bibliography"/>
      </w:pPr>
      <w:r>
        <w:t xml:space="preserve">3.</w:t>
      </w:r>
      <w:r>
        <w:t xml:space="preserve"> </w:t>
      </w:r>
      <w:r>
        <w:t xml:space="preserve">	</w:t>
      </w:r>
      <w:r>
        <w:t xml:space="preserve">Hussain S, Meijer A, Govorkova EA, et al.</w:t>
      </w:r>
      <w:r>
        <w:t xml:space="preserve"> </w:t>
      </w:r>
      <w:hyperlink r:id="rId66">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7"/>
    <w:bookmarkStart w:id="69" w:name="ref-brown2022"/>
    <w:p>
      <w:pPr>
        <w:pStyle w:val="Bibliography"/>
      </w:pPr>
      <w:r>
        <w:t xml:space="preserve">4.</w:t>
      </w:r>
      <w:r>
        <w:t xml:space="preserve"> </w:t>
      </w:r>
      <w:r>
        <w:t xml:space="preserve">	</w:t>
      </w:r>
      <w:r>
        <w:t xml:space="preserve">Brown DG, Wobst HJ, Kapoor A, et al.</w:t>
      </w:r>
      <w:r>
        <w:t xml:space="preserve"> </w:t>
      </w:r>
      <w:hyperlink r:id="rId68">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69"/>
    <w:bookmarkStart w:id="71" w:name="ref-saranraj2025"/>
    <w:p>
      <w:pPr>
        <w:pStyle w:val="Bibliography"/>
      </w:pPr>
      <w:r>
        <w:t xml:space="preserve">5.</w:t>
      </w:r>
      <w:r>
        <w:t xml:space="preserve"> </w:t>
      </w:r>
      <w:r>
        <w:t xml:space="preserve">	</w:t>
      </w:r>
      <w:r>
        <w:t xml:space="preserve">Saranraj K, Kiran PU.</w:t>
      </w:r>
      <w:r>
        <w:t xml:space="preserve"> </w:t>
      </w:r>
      <w:hyperlink r:id="rId70">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1"/>
    <w:bookmarkStart w:id="73" w:name="ref-tripp2022"/>
    <w:p>
      <w:pPr>
        <w:pStyle w:val="Bibliography"/>
      </w:pPr>
      <w:r>
        <w:t xml:space="preserve">6.</w:t>
      </w:r>
      <w:r>
        <w:t xml:space="preserve"> </w:t>
      </w:r>
      <w:r>
        <w:t xml:space="preserve">	</w:t>
      </w:r>
      <w:r>
        <w:t xml:space="preserve">Tripp RA, Martin DE.</w:t>
      </w:r>
      <w:r>
        <w:t xml:space="preserve"> </w:t>
      </w:r>
      <w:hyperlink r:id="rId72">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3"/>
    <w:bookmarkStart w:id="75" w:name="ref-hong2025"/>
    <w:p>
      <w:pPr>
        <w:pStyle w:val="Bibliography"/>
      </w:pPr>
      <w:r>
        <w:t xml:space="preserve">7.</w:t>
      </w:r>
      <w:r>
        <w:t xml:space="preserve"> </w:t>
      </w:r>
      <w:r>
        <w:t xml:space="preserve">	</w:t>
      </w:r>
      <w:r>
        <w:t xml:space="preserve">Hong J, Guo Z, Huang X, et al.</w:t>
      </w:r>
      <w:r>
        <w:t xml:space="preserve"> </w:t>
      </w:r>
      <w:hyperlink r:id="rId74">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5"/>
    <w:bookmarkStart w:id="77" w:name="ref-martin2023"/>
    <w:p>
      <w:pPr>
        <w:pStyle w:val="Bibliography"/>
      </w:pPr>
      <w:r>
        <w:t xml:space="preserve">8.</w:t>
      </w:r>
      <w:r>
        <w:t xml:space="preserve"> </w:t>
      </w:r>
      <w:r>
        <w:t xml:space="preserve">	</w:t>
      </w:r>
      <w:r>
        <w:t xml:space="preserve">Martin DE, Pandey N, Chavda P, et al.</w:t>
      </w:r>
      <w:r>
        <w:t xml:space="preserve"> </w:t>
      </w:r>
      <w:hyperlink r:id="rId76">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7"/>
    <w:bookmarkStart w:id="79" w:name="ref-cunningham1981"/>
    <w:p>
      <w:pPr>
        <w:pStyle w:val="Bibliography"/>
      </w:pPr>
      <w:r>
        <w:t xml:space="preserve">9.</w:t>
      </w:r>
      <w:r>
        <w:t xml:space="preserve"> </w:t>
      </w:r>
      <w:r>
        <w:t xml:space="preserve">	</w:t>
      </w:r>
      <w:r>
        <w:t xml:space="preserve">Cunningham RF, Israili ZH, Dayton PG.</w:t>
      </w:r>
      <w:r>
        <w:t xml:space="preserve"> </w:t>
      </w:r>
      <w:hyperlink r:id="rId78">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79"/>
    <w:bookmarkStart w:id="81" w:name="ref-murray2023"/>
    <w:p>
      <w:pPr>
        <w:pStyle w:val="Bibliography"/>
      </w:pPr>
      <w:r>
        <w:t xml:space="preserve">10.</w:t>
      </w:r>
      <w:r>
        <w:t xml:space="preserve"> </w:t>
      </w:r>
      <w:r>
        <w:t xml:space="preserve">	</w:t>
      </w:r>
      <w:r>
        <w:t xml:space="preserve">Murray J, Martin DE, Sancilio FD, et al.</w:t>
      </w:r>
      <w:r>
        <w:t xml:space="preserve"> </w:t>
      </w:r>
      <w:hyperlink r:id="rId80">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1"/>
    <w:bookmarkStart w:id="83" w:name="ref-murray2024"/>
    <w:p>
      <w:pPr>
        <w:pStyle w:val="Bibliography"/>
      </w:pPr>
      <w:r>
        <w:t xml:space="preserve">11.</w:t>
      </w:r>
      <w:r>
        <w:t xml:space="preserve"> </w:t>
      </w:r>
      <w:r>
        <w:t xml:space="preserve">	</w:t>
      </w:r>
      <w:r>
        <w:t xml:space="preserve">Murray J, Martin DE, Hosking S, et al.</w:t>
      </w:r>
      <w:r>
        <w:t xml:space="preserve"> </w:t>
      </w:r>
      <w:hyperlink r:id="rId82">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3"/>
    <w:bookmarkStart w:id="85" w:name="ref-emanuelsson1987"/>
    <w:p>
      <w:pPr>
        <w:pStyle w:val="Bibliography"/>
      </w:pPr>
      <w:r>
        <w:t xml:space="preserve">12.</w:t>
      </w:r>
      <w:r>
        <w:t xml:space="preserve"> </w:t>
      </w:r>
      <w:r>
        <w:t xml:space="preserve">	</w:t>
      </w:r>
      <w:r>
        <w:t xml:space="preserve">Emanuelsson B-M, Beermann B, Paalzow LK.</w:t>
      </w:r>
      <w:r>
        <w:t xml:space="preserve"> </w:t>
      </w:r>
      <w:hyperlink r:id="rId84">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5"/>
    <w:bookmarkStart w:id="87" w:name="ref-emanuelsson1988"/>
    <w:p>
      <w:pPr>
        <w:pStyle w:val="Bibliography"/>
      </w:pPr>
      <w:r>
        <w:t xml:space="preserve">13.</w:t>
      </w:r>
      <w:r>
        <w:t xml:space="preserve"> </w:t>
      </w:r>
      <w:r>
        <w:t xml:space="preserve">	</w:t>
      </w:r>
      <w:r>
        <w:t xml:space="preserve">Emanuelsson B-M, Paalzow LK.</w:t>
      </w:r>
      <w:r>
        <w:t xml:space="preserve"> </w:t>
      </w:r>
      <w:hyperlink r:id="rId86">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7"/>
    <w:bookmarkStart w:id="89" w:name="ref-murray2021"/>
    <w:p>
      <w:pPr>
        <w:pStyle w:val="Bibliography"/>
      </w:pPr>
      <w:r>
        <w:t xml:space="preserve">14.</w:t>
      </w:r>
      <w:r>
        <w:t xml:space="preserve"> </w:t>
      </w:r>
      <w:r>
        <w:t xml:space="preserve">	</w:t>
      </w:r>
      <w:r>
        <w:t xml:space="preserve">Murray J, Hogan RJ, Martin DE, et al.</w:t>
      </w:r>
      <w:r>
        <w:t xml:space="preserve"> </w:t>
      </w:r>
      <w:hyperlink r:id="rId88">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89"/>
    <w:bookmarkStart w:id="91" w:name="ref-chiou2000"/>
    <w:p>
      <w:pPr>
        <w:pStyle w:val="Bibliography"/>
      </w:pPr>
      <w:r>
        <w:t xml:space="preserve">15.</w:t>
      </w:r>
      <w:r>
        <w:t xml:space="preserve"> </w:t>
      </w:r>
      <w:r>
        <w:t xml:space="preserve">	</w:t>
      </w:r>
      <w:r>
        <w:t xml:space="preserve">Chiou WL, Ma C, Chung SM, et al.</w:t>
      </w:r>
      <w:r>
        <w:t xml:space="preserve"> </w:t>
      </w:r>
      <w:hyperlink r:id="rId90">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1"/>
    <w:bookmarkStart w:id="92" w:name="ref-pubchem"/>
    <w:p>
      <w:pPr>
        <w:pStyle w:val="Bibliography"/>
      </w:pPr>
      <w:r>
        <w:t xml:space="preserve">16.</w:t>
      </w:r>
      <w:r>
        <w:t xml:space="preserve"> </w:t>
      </w:r>
      <w:r>
        <w:t xml:space="preserve">	</w:t>
      </w:r>
      <w:r>
        <w:t xml:space="preserve">PubChem. Probenecid.</w:t>
      </w:r>
      <w:r>
        <w:t xml:space="preserve"> </w:t>
      </w:r>
    </w:p>
    <w:bookmarkEnd w:id="92"/>
    <w:bookmarkStart w:id="94" w:name="ref-ings1990"/>
    <w:p>
      <w:pPr>
        <w:pStyle w:val="Bibliography"/>
      </w:pPr>
      <w:r>
        <w:t xml:space="preserve">17.</w:t>
      </w:r>
      <w:r>
        <w:t xml:space="preserve"> </w:t>
      </w:r>
      <w:r>
        <w:t xml:space="preserve">	</w:t>
      </w:r>
      <w:r>
        <w:t xml:space="preserve">Ings RMJ.</w:t>
      </w:r>
      <w:r>
        <w:t xml:space="preserve"> </w:t>
      </w:r>
      <w:hyperlink r:id="rId93">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4"/>
    <w:bookmarkStart w:id="96" w:name="ref-kaul2021"/>
    <w:p>
      <w:pPr>
        <w:pStyle w:val="Bibliography"/>
      </w:pPr>
      <w:r>
        <w:t xml:space="preserve">18.</w:t>
      </w:r>
      <w:r>
        <w:t xml:space="preserve"> </w:t>
      </w:r>
      <w:r>
        <w:t xml:space="preserve">	</w:t>
      </w:r>
      <w:r>
        <w:t xml:space="preserve">Kaul MG, Mummert T, Graeser M, et al.</w:t>
      </w:r>
      <w:r>
        <w:t xml:space="preserve"> </w:t>
      </w:r>
      <w:hyperlink r:id="rId95">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6"/>
    <w:bookmarkStart w:id="98" w:name="ref-vanvalkengoed2025"/>
    <w:p>
      <w:pPr>
        <w:pStyle w:val="Bibliography"/>
      </w:pPr>
      <w:r>
        <w:t xml:space="preserve">19.</w:t>
      </w:r>
      <w:r>
        <w:t xml:space="preserve"> </w:t>
      </w:r>
      <w:r>
        <w:t xml:space="preserve">	</w:t>
      </w:r>
      <w:r>
        <w:t xml:space="preserve">van Valkengoed DW, Krekels EHJ, Knibbe CAJ.</w:t>
      </w:r>
      <w:r>
        <w:t xml:space="preserve"> </w:t>
      </w:r>
      <w:hyperlink r:id="rId97">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8"/>
    <w:bookmarkStart w:id="100" w:name="ref-white2005"/>
    <w:p>
      <w:pPr>
        <w:pStyle w:val="Bibliography"/>
      </w:pPr>
      <w:r>
        <w:t xml:space="preserve">20.</w:t>
      </w:r>
      <w:r>
        <w:t xml:space="preserve"> </w:t>
      </w:r>
      <w:r>
        <w:t xml:space="preserve">	</w:t>
      </w:r>
      <w:r>
        <w:t xml:space="preserve">White CR, Seymour RS.</w:t>
      </w:r>
      <w:r>
        <w:t xml:space="preserve"> </w:t>
      </w:r>
      <w:hyperlink r:id="rId99">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0"/>
    <w:bookmarkStart w:id="102" w:name="ref-jain2025"/>
    <w:p>
      <w:pPr>
        <w:pStyle w:val="Bibliography"/>
      </w:pPr>
      <w:r>
        <w:t xml:space="preserve">21.</w:t>
      </w:r>
      <w:r>
        <w:t xml:space="preserve"> </w:t>
      </w:r>
      <w:r>
        <w:t xml:space="preserve">	</w:t>
      </w:r>
      <w:r>
        <w:t xml:space="preserve">Jain V, Bordes SJ, Bhardwaj A.</w:t>
      </w:r>
      <w:r>
        <w:t xml:space="preserve"> </w:t>
      </w:r>
      <w:hyperlink r:id="rId101">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2"/>
    <w:bookmarkStart w:id="104" w:name="ref-janssen2002"/>
    <w:p>
      <w:pPr>
        <w:pStyle w:val="Bibliography"/>
      </w:pPr>
      <w:r>
        <w:t xml:space="preserve">22.</w:t>
      </w:r>
      <w:r>
        <w:t xml:space="preserve"> </w:t>
      </w:r>
      <w:r>
        <w:t xml:space="preserve">	</w:t>
      </w:r>
      <w:r>
        <w:t xml:space="preserve">Janssen B, Debets J, Leenders P, et al.</w:t>
      </w:r>
      <w:r>
        <w:t xml:space="preserve"> </w:t>
      </w:r>
      <w:hyperlink r:id="rId103">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4"/>
    <w:bookmarkStart w:id="106" w:name="ref-tournoux2011"/>
    <w:p>
      <w:pPr>
        <w:pStyle w:val="Bibliography"/>
      </w:pPr>
      <w:r>
        <w:t xml:space="preserve">23.</w:t>
      </w:r>
      <w:r>
        <w:t xml:space="preserve"> </w:t>
      </w:r>
      <w:r>
        <w:t xml:space="preserve">	</w:t>
      </w:r>
      <w:r>
        <w:t xml:space="preserve">Tournoux F, Petersen B, Thibault H, et al.</w:t>
      </w:r>
      <w:r>
        <w:t xml:space="preserve"> </w:t>
      </w:r>
      <w:hyperlink r:id="rId105">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6"/>
    <w:bookmarkStart w:id="108" w:name="ref-kreissl2006"/>
    <w:p>
      <w:pPr>
        <w:pStyle w:val="Bibliography"/>
      </w:pPr>
      <w:r>
        <w:t xml:space="preserve">24.</w:t>
      </w:r>
      <w:r>
        <w:t xml:space="preserve"> </w:t>
      </w:r>
      <w:r>
        <w:t xml:space="preserve">	</w:t>
      </w:r>
      <w:r>
        <w:t xml:space="preserve">Kreissl MC, Wu H-M, Stout DB, et al.</w:t>
      </w:r>
      <w:r>
        <w:t xml:space="preserve"> </w:t>
      </w:r>
      <w:hyperlink r:id="rId107">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8"/>
    <w:bookmarkStart w:id="110" w:name="ref-knust2009"/>
    <w:p>
      <w:pPr>
        <w:pStyle w:val="Bibliography"/>
      </w:pPr>
      <w:r>
        <w:t xml:space="preserve">25.</w:t>
      </w:r>
      <w:r>
        <w:t xml:space="preserve"> </w:t>
      </w:r>
      <w:r>
        <w:t xml:space="preserve">	</w:t>
      </w:r>
      <w:r>
        <w:t xml:space="preserve">Knust J, Ochs M, Gundersen HJG, et al.</w:t>
      </w:r>
      <w:r>
        <w:t xml:space="preserve"> </w:t>
      </w:r>
      <w:hyperlink r:id="rId109">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0"/>
    <w:bookmarkStart w:id="112" w:name="ref-suresh2021"/>
    <w:p>
      <w:pPr>
        <w:pStyle w:val="Bibliography"/>
      </w:pPr>
      <w:r>
        <w:t xml:space="preserve">26.</w:t>
      </w:r>
      <w:r>
        <w:t xml:space="preserve"> </w:t>
      </w:r>
      <w:r>
        <w:t xml:space="preserve">	</w:t>
      </w:r>
      <w:r>
        <w:t xml:space="preserve">Suresh V.</w:t>
      </w:r>
      <w:r>
        <w:t xml:space="preserve"> </w:t>
      </w:r>
      <w:hyperlink r:id="rId111">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2"/>
    <w:bookmarkStart w:id="114" w:name="ref-goutelle2008"/>
    <w:p>
      <w:pPr>
        <w:pStyle w:val="Bibliography"/>
      </w:pPr>
      <w:r>
        <w:t xml:space="preserve">27.</w:t>
      </w:r>
      <w:r>
        <w:t xml:space="preserve"> </w:t>
      </w:r>
      <w:r>
        <w:t xml:space="preserve">	</w:t>
      </w:r>
      <w:r>
        <w:t xml:space="preserve">Goutelle S, Maurin M, Rougier F, et al.</w:t>
      </w:r>
      <w:r>
        <w:t xml:space="preserve"> </w:t>
      </w:r>
      <w:hyperlink r:id="rId113">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4"/>
    <w:bookmarkStart w:id="116" w:name="ref-ellmerer2000"/>
    <w:p>
      <w:pPr>
        <w:pStyle w:val="Bibliography"/>
      </w:pPr>
      <w:r>
        <w:t xml:space="preserve">28.</w:t>
      </w:r>
      <w:r>
        <w:t xml:space="preserve"> </w:t>
      </w:r>
      <w:r>
        <w:t xml:space="preserve">	</w:t>
      </w:r>
      <w:r>
        <w:t xml:space="preserve">Ellmerer M, Schaupp L, Brunner GA, et al.</w:t>
      </w:r>
      <w:r>
        <w:t xml:space="preserve"> </w:t>
      </w:r>
      <w:hyperlink r:id="rId115">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6"/>
    <w:bookmarkStart w:id="118" w:name="ref-handel2010"/>
    <w:p>
      <w:pPr>
        <w:pStyle w:val="Bibliography"/>
      </w:pPr>
      <w:r>
        <w:t xml:space="preserve">29.</w:t>
      </w:r>
      <w:r>
        <w:t xml:space="preserve"> </w:t>
      </w:r>
      <w:r>
        <w:t xml:space="preserve">	</w:t>
      </w:r>
      <w:r>
        <w:t xml:space="preserve">Handel A, Longini IM, Antia R.</w:t>
      </w:r>
      <w:r>
        <w:t xml:space="preserve"> </w:t>
      </w:r>
      <w:hyperlink r:id="rId117">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8"/>
    <w:bookmarkStart w:id="120" w:name="ref-handel2018"/>
    <w:p>
      <w:pPr>
        <w:pStyle w:val="Bibliography"/>
      </w:pPr>
      <w:r>
        <w:t xml:space="preserve">30.</w:t>
      </w:r>
      <w:r>
        <w:t xml:space="preserve"> </w:t>
      </w:r>
      <w:r>
        <w:t xml:space="preserve">	</w:t>
      </w:r>
      <w:r>
        <w:t xml:space="preserve">Handel A, Li Y, McKay B, et al.</w:t>
      </w:r>
      <w:r>
        <w:t xml:space="preserve"> </w:t>
      </w:r>
      <w:hyperlink r:id="rId119">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0"/>
    <w:bookmarkStart w:id="122" w:name="ref-canini14a"/>
    <w:p>
      <w:pPr>
        <w:pStyle w:val="Bibliography"/>
      </w:pPr>
      <w:r>
        <w:t xml:space="preserve">31.</w:t>
      </w:r>
      <w:r>
        <w:t xml:space="preserve"> </w:t>
      </w:r>
      <w:r>
        <w:t xml:space="preserve">	</w:t>
      </w:r>
      <w:r>
        <w:t xml:space="preserve">Canini L, Conway JM, Perelson AS, et al.</w:t>
      </w:r>
      <w:r>
        <w:t xml:space="preserve"> </w:t>
      </w:r>
      <w:hyperlink r:id="rId121">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2"/>
    <w:bookmarkStart w:id="124" w:name="ref-dobrovolny13"/>
    <w:p>
      <w:pPr>
        <w:pStyle w:val="Bibliography"/>
      </w:pPr>
      <w:r>
        <w:t xml:space="preserve">32.</w:t>
      </w:r>
      <w:r>
        <w:t xml:space="preserve"> </w:t>
      </w:r>
      <w:r>
        <w:t xml:space="preserve">	</w:t>
      </w:r>
      <w:r>
        <w:t xml:space="preserve">Dobrovolny HM, Reddy MB, Kamal MA, et al.</w:t>
      </w:r>
      <w:r>
        <w:t xml:space="preserve"> </w:t>
      </w:r>
      <w:hyperlink r:id="rId123">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4"/>
    <w:bookmarkStart w:id="126" w:name="ref-handel2018b"/>
    <w:p>
      <w:pPr>
        <w:pStyle w:val="Bibliography"/>
      </w:pPr>
      <w:r>
        <w:t xml:space="preserve">33.</w:t>
      </w:r>
      <w:r>
        <w:t xml:space="preserve"> </w:t>
      </w:r>
      <w:r>
        <w:t xml:space="preserve">	</w:t>
      </w:r>
      <w:r>
        <w:t xml:space="preserve">Handel A, Liao LE, Beauchemin CAA.</w:t>
      </w:r>
      <w:r>
        <w:t xml:space="preserve"> </w:t>
      </w:r>
      <w:hyperlink r:id="rId125">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6"/>
    <w:bookmarkStart w:id="128"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7">
        <w:r>
          <w:rPr>
            <w:rStyle w:val="Hyperlink"/>
          </w:rPr>
          <w:t xml:space="preserve">https://www.ncbi.nlm.nih.gov/pubmed/21356136</w:t>
        </w:r>
      </w:hyperlink>
      <w:r>
        <w:t xml:space="preserve">). (Accessed September 21, 2011)</w:t>
      </w:r>
    </w:p>
    <w:bookmarkEnd w:id="128"/>
    <w:bookmarkStart w:id="130" w:name="ref-kamal15"/>
    <w:p>
      <w:pPr>
        <w:pStyle w:val="Bibliography"/>
      </w:pPr>
      <w:r>
        <w:t xml:space="preserve">35.</w:t>
      </w:r>
      <w:r>
        <w:t xml:space="preserve"> </w:t>
      </w:r>
      <w:r>
        <w:t xml:space="preserve">	</w:t>
      </w:r>
      <w:r>
        <w:t xml:space="preserve">Kamal MA, Gieschke R, Lemenuel-Diot A, et al.</w:t>
      </w:r>
      <w:r>
        <w:t xml:space="preserve"> </w:t>
      </w:r>
      <w:hyperlink r:id="rId129">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0"/>
    <w:bookmarkStart w:id="132" w:name="ref-kuribayashi2018"/>
    <w:p>
      <w:pPr>
        <w:pStyle w:val="Bibliography"/>
      </w:pPr>
      <w:r>
        <w:t xml:space="preserve">36.</w:t>
      </w:r>
      <w:r>
        <w:t xml:space="preserve"> </w:t>
      </w:r>
      <w:r>
        <w:t xml:space="preserve">	</w:t>
      </w:r>
      <w:r>
        <w:t xml:space="preserve">Kuribayashi T.</w:t>
      </w:r>
      <w:r>
        <w:t xml:space="preserve"> </w:t>
      </w:r>
      <w:hyperlink r:id="rId131">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2"/>
    <w:bookmarkStart w:id="134" w:name="ref-lewis2021"/>
    <w:p>
      <w:pPr>
        <w:pStyle w:val="Bibliography"/>
      </w:pPr>
      <w:r>
        <w:t xml:space="preserve">37.</w:t>
      </w:r>
      <w:r>
        <w:t xml:space="preserve"> </w:t>
      </w:r>
      <w:r>
        <w:t xml:space="preserve">	</w:t>
      </w:r>
      <w:r>
        <w:t xml:space="preserve">Lewis DA, Ly T.</w:t>
      </w:r>
      <w:r>
        <w:t xml:space="preserve"> </w:t>
      </w:r>
      <w:hyperlink r:id="rId133">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4"/>
    <w:bookmarkStart w:id="136" w:name="ref-smith11"/>
    <w:p>
      <w:pPr>
        <w:pStyle w:val="Bibliography"/>
      </w:pPr>
      <w:r>
        <w:t xml:space="preserve">38.</w:t>
      </w:r>
      <w:r>
        <w:t xml:space="preserve"> </w:t>
      </w:r>
      <w:r>
        <w:t xml:space="preserve">	</w:t>
      </w:r>
      <w:r>
        <w:t xml:space="preserve">Smith AM, Perelson AS.</w:t>
      </w:r>
      <w:r>
        <w:t xml:space="preserve"> </w:t>
      </w:r>
      <w:hyperlink r:id="rId135">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6"/>
    <w:bookmarkStart w:id="138" w:name="ref-soetaert10"/>
    <w:p>
      <w:pPr>
        <w:pStyle w:val="Bibliography"/>
      </w:pPr>
      <w:r>
        <w:t xml:space="preserve">39.</w:t>
      </w:r>
      <w:r>
        <w:t xml:space="preserve"> </w:t>
      </w:r>
      <w:r>
        <w:t xml:space="preserve">	</w:t>
      </w:r>
      <w:r>
        <w:t xml:space="preserve">Soetaert K, Petzoldt T, Setzer RW.</w:t>
      </w:r>
      <w:r>
        <w:t xml:space="preserve"> </w:t>
      </w:r>
      <w:hyperlink r:id="rId137">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8"/>
    <w:bookmarkStart w:id="139"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39"/>
    <w:bookmarkStart w:id="141" w:name="ref-hayden96"/>
    <w:p>
      <w:pPr>
        <w:pStyle w:val="Bibliography"/>
      </w:pPr>
      <w:r>
        <w:t xml:space="preserve">41.</w:t>
      </w:r>
      <w:r>
        <w:t xml:space="preserve"> </w:t>
      </w:r>
      <w:r>
        <w:t xml:space="preserve">	</w:t>
      </w:r>
      <w:r>
        <w:t xml:space="preserve">Hayden FG, Treanor JJ, Betts RF, et al.</w:t>
      </w:r>
      <w:r>
        <w:t xml:space="preserve"> </w:t>
      </w:r>
      <w:hyperlink r:id="rId140">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1"/>
    <w:bookmarkStart w:id="143" w:name="ref-swierczynska2022"/>
    <w:p>
      <w:pPr>
        <w:pStyle w:val="Bibliography"/>
      </w:pPr>
      <w:r>
        <w:t xml:space="preserve">42.</w:t>
      </w:r>
      <w:r>
        <w:t xml:space="preserve"> </w:t>
      </w:r>
      <w:r>
        <w:t xml:space="preserve">	</w:t>
      </w:r>
      <w:r>
        <w:t xml:space="preserve">Świerczyńska M, Mirowska-Guzel DM, Pindelska E.</w:t>
      </w:r>
      <w:r>
        <w:t xml:space="preserve"> </w:t>
      </w:r>
      <w:hyperlink r:id="rId142">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3"/>
    <w:bookmarkStart w:id="145" w:name="ref-ison2020"/>
    <w:p>
      <w:pPr>
        <w:pStyle w:val="Bibliography"/>
      </w:pPr>
      <w:r>
        <w:t xml:space="preserve">43.</w:t>
      </w:r>
      <w:r>
        <w:t xml:space="preserve"> </w:t>
      </w:r>
      <w:r>
        <w:t xml:space="preserve">	</w:t>
      </w:r>
      <w:r>
        <w:t xml:space="preserve">Ison MG, Portsmouth S, Yoshida Y, et al.</w:t>
      </w:r>
      <w:r>
        <w:t xml:space="preserve"> </w:t>
      </w:r>
      <w:hyperlink r:id="rId144">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5"/>
    <w:bookmarkStart w:id="147" w:name="ref-petrie2013"/>
    <w:p>
      <w:pPr>
        <w:pStyle w:val="Bibliography"/>
      </w:pPr>
      <w:r>
        <w:t xml:space="preserve">44.</w:t>
      </w:r>
      <w:r>
        <w:t xml:space="preserve"> </w:t>
      </w:r>
      <w:r>
        <w:t xml:space="preserve">	</w:t>
      </w:r>
      <w:r>
        <w:t xml:space="preserve">Petrie SM, Guarnaccia T, Laurie KL, et al.</w:t>
      </w:r>
      <w:r>
        <w:t xml:space="preserve"> </w:t>
      </w:r>
      <w:hyperlink r:id="rId146">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2025-11-04T13:32:14Z</dcterms:created>
  <dcterms:modified xsi:type="dcterms:W3CDTF">2025-11-04T13:32:14Z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