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Kooperationsvertrag</w:t>
      </w:r>
      <w:r>
        <w:t xml:space="preserve"> </w:t>
      </w:r>
      <w:r>
        <w:t xml:space="preserve">(Muster)</w:t>
      </w:r>
      <w:r>
        <w:t xml:space="preserve"> </w:t>
      </w:r>
      <w:r>
        <w:t xml:space="preserve">–</w:t>
      </w:r>
      <w:r>
        <w:t xml:space="preserve"> </w:t>
      </w:r>
      <w:r>
        <w:t xml:space="preserve">Energieberatung</w:t>
      </w:r>
      <w:r>
        <w:t xml:space="preserve"> </w:t>
      </w:r>
      <w:r>
        <w:t xml:space="preserve">und</w:t>
      </w:r>
      <w:r>
        <w:t xml:space="preserve"> </w:t>
      </w:r>
      <w:r>
        <w:t xml:space="preserve">Heizung</w:t>
      </w:r>
      <w:r>
        <w:t xml:space="preserve"> </w:t>
      </w:r>
      <w:r>
        <w:t xml:space="preserve">/</w:t>
      </w:r>
      <w:r>
        <w:t xml:space="preserve"> </w:t>
      </w:r>
      <w:r>
        <w:t xml:space="preserve">Sanitär</w:t>
      </w:r>
    </w:p>
    <w:bookmarkStart w:id="32" w:name="kooperationsvertrag"/>
    <w:p>
      <w:pPr>
        <w:pStyle w:val="Heading1"/>
      </w:pPr>
      <w:r>
        <w:t xml:space="preserve">Kooperationsvertrag</w:t>
      </w:r>
    </w:p>
    <w:p>
      <w:pPr>
        <w:pStyle w:val="FirstParagraph"/>
      </w:pPr>
      <w:r>
        <w:rPr>
          <w:bCs/>
          <w:b/>
        </w:rPr>
        <w:t xml:space="preserve">Zusammenarbeit zwischen Energieberatung und Fachbetrieb für Heizung / Sanitär (SHK)</w:t>
      </w:r>
    </w:p>
    <w:p>
      <w:pPr>
        <w:pStyle w:val="BodyText"/>
      </w:pPr>
      <w:r>
        <w:rPr>
          <w:iCs/>
          <w:i/>
        </w:rPr>
        <w:t xml:space="preserve">Muster – vor Unterzeichnung rechtlich und steuerlich prüfen lassen. Eckige Klammern [ ] sind auszufüllen bzw. auszuwählen.</w:t>
      </w:r>
    </w:p>
    <w:p>
      <w:r>
        <w:pict>
          <v:rect style="width:0;height:1.5pt" o:hralign="center" o:hrstd="t" o:hr="t"/>
        </w:pict>
      </w:r>
    </w:p>
    <w:bookmarkStart w:id="20" w:name="zwischen"/>
    <w:p>
      <w:pPr>
        <w:pStyle w:val="Heading2"/>
      </w:pPr>
      <w:r>
        <w:t xml:space="preserve">Zwischen</w:t>
      </w:r>
    </w:p>
    <w:p>
      <w:pPr>
        <w:pStyle w:val="FirstParagraph"/>
      </w:pPr>
      <w:r>
        <w:rPr>
          <w:bCs/>
          <w:b/>
        </w:rPr>
        <w:t xml:space="preserve">[Name / Firma Energieberatung]</w:t>
      </w:r>
      <w:r>
        <w:t xml:space="preserve">, [Anschrift], [Energieeffizienz-Experte, Listung-Nr. dena-Expertenliste: ], USt-IdNr.: [ ],</w:t>
      </w:r>
      <w:r>
        <w:t xml:space="preserve"> </w:t>
      </w:r>
      <w:r>
        <w:t xml:space="preserve">vertreten durch [ ]</w:t>
      </w:r>
    </w:p>
    <w:p>
      <w:pPr>
        <w:pStyle w:val="BodyText"/>
      </w:pPr>
      <w:r>
        <w:t xml:space="preserve">– nachfolgend</w:t>
      </w:r>
      <w:r>
        <w:t xml:space="preserve"> </w:t>
      </w:r>
      <w:r>
        <w:rPr>
          <w:bCs/>
          <w:b/>
        </w:rPr>
        <w:t xml:space="preserve">„Energieberater”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und</w:t>
      </w:r>
    </w:p>
    <w:p>
      <w:pPr>
        <w:pStyle w:val="BodyText"/>
      </w:pPr>
      <w:r>
        <w:rPr>
          <w:bCs/>
          <w:b/>
        </w:rPr>
        <w:t xml:space="preserve">[Firma Fachbetrieb]</w:t>
      </w:r>
      <w:r>
        <w:t xml:space="preserve"> </w:t>
      </w:r>
      <w:r>
        <w:t xml:space="preserve">[Rechtsform], [Anschrift], [Handelsregister / HRB], USt-IdNr.: [ ],</w:t>
      </w:r>
      <w:r>
        <w:t xml:space="preserve"> </w:t>
      </w:r>
      <w:r>
        <w:t xml:space="preserve">Eintragung in der Handwerksrolle der Handwerkskammer [ ] unter Nr. [ ] (Installateur- und Heizungsbauer-Handwerk),</w:t>
      </w:r>
      <w:r>
        <w:t xml:space="preserve"> </w:t>
      </w:r>
      <w:r>
        <w:t xml:space="preserve">vertreten durch [ ]</w:t>
      </w:r>
    </w:p>
    <w:p>
      <w:pPr>
        <w:pStyle w:val="BodyText"/>
      </w:pPr>
      <w:r>
        <w:t xml:space="preserve">– nachfolgend</w:t>
      </w:r>
      <w:r>
        <w:t xml:space="preserve"> </w:t>
      </w:r>
      <w:r>
        <w:rPr>
          <w:bCs/>
          <w:b/>
        </w:rPr>
        <w:t xml:space="preserve">„Fachbetrieb”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– gemeinsam</w:t>
      </w:r>
      <w:r>
        <w:t xml:space="preserve"> </w:t>
      </w:r>
      <w:r>
        <w:rPr>
          <w:bCs/>
          <w:b/>
        </w:rPr>
        <w:t xml:space="preserve">„Parteien”</w:t>
      </w:r>
      <w:r>
        <w:t xml:space="preserve"> </w:t>
      </w:r>
      <w:r>
        <w:t xml:space="preserve">–</w:t>
      </w:r>
    </w:p>
    <w:p>
      <w:r>
        <w:pict>
          <v:rect style="width:0;height:1.5pt" o:hralign="center" o:hrstd="t" o:hr="t"/>
        </w:pict>
      </w:r>
    </w:p>
    <w:bookmarkEnd w:id="20"/>
    <w:bookmarkStart w:id="21" w:name="präambel"/>
    <w:p>
      <w:pPr>
        <w:pStyle w:val="Heading2"/>
      </w:pPr>
      <w:r>
        <w:t xml:space="preserve">Präambel</w:t>
      </w:r>
    </w:p>
    <w:p>
      <w:pPr>
        <w:pStyle w:val="FirstParagraph"/>
      </w:pPr>
      <w:r>
        <w:t xml:space="preserve">Der Energieberater berät Eigentümer zur energetischen Sanierung von Gebäuden, erstellt Sanierungsfahrpläne und begleitet Förderanträge (u. a. BEG, KfW, BAFA). Der Fachbetrieb plant und installiert Heizungs-, Wärmepumpen-, Sanitär- und Lüftungsanlagen. Die Parteien möchten ihre Leistungen abstimmen, um Kunden eine fachlich abgestimmte und förderfähige Sanierung aus einer Hand zu ermöglichen,</w:t>
      </w:r>
      <w:r>
        <w:t xml:space="preserve"> </w:t>
      </w:r>
      <w:r>
        <w:rPr>
          <w:bCs/>
          <w:b/>
        </w:rPr>
        <w:t xml:space="preserve">ohne dabei ihre jeweilige Unabhängigkeit aufzugeben</w:t>
      </w:r>
      <w:r>
        <w:t xml:space="preserve">.</w:t>
      </w:r>
    </w:p>
    <w:bookmarkEnd w:id="21"/>
    <w:bookmarkStart w:id="22" w:name="gegenstand-der-kooperation"/>
    <w:p>
      <w:pPr>
        <w:pStyle w:val="Heading2"/>
      </w:pPr>
      <w:r>
        <w:t xml:space="preserve">§ 1 Gegenstand der Kooperation</w:t>
      </w:r>
    </w:p>
    <w:p>
      <w:pPr>
        <w:numPr>
          <w:ilvl w:val="0"/>
          <w:numId w:val="1001"/>
        </w:numPr>
        <w:pStyle w:val="Compact"/>
      </w:pPr>
      <w:r>
        <w:t xml:space="preserve">Die Parteien arbeiten bei Sanierungsvorhaben projektbezogen zusammen. Die Kooperation umfasst insbesondere:</w:t>
      </w:r>
    </w:p>
    <w:p>
      <w:pPr>
        <w:numPr>
          <w:ilvl w:val="1"/>
          <w:numId w:val="1002"/>
        </w:numPr>
        <w:pStyle w:val="Compact"/>
      </w:pPr>
      <w:r>
        <w:t xml:space="preserve">Empfehlung des jeweils anderen Partners an Kunden, die entsprechenden Bedarf haben,</w:t>
      </w:r>
    </w:p>
    <w:p>
      <w:pPr>
        <w:numPr>
          <w:ilvl w:val="1"/>
          <w:numId w:val="1002"/>
        </w:numPr>
        <w:pStyle w:val="Compact"/>
      </w:pPr>
      <w:r>
        <w:t xml:space="preserve">Abstimmung von Heizlastberechnung (DIN EN 12831), hydraulischem Abgleich (Verfahren B) und Anlagenauslegung,</w:t>
      </w:r>
    </w:p>
    <w:p>
      <w:pPr>
        <w:numPr>
          <w:ilvl w:val="1"/>
          <w:numId w:val="1002"/>
        </w:numPr>
        <w:pStyle w:val="Compact"/>
      </w:pPr>
      <w:r>
        <w:t xml:space="preserve">Abstimmung der technischen Mindestanforderungen für Fördermittel und Bereitstellung der dafür nötigen Nachweise (z. B. Fachunternehmererklärung, Verfahren B-Protokoll, Inbetriebnahmeprotokoll),</w:t>
      </w:r>
    </w:p>
    <w:p>
      <w:pPr>
        <w:numPr>
          <w:ilvl w:val="1"/>
          <w:numId w:val="1002"/>
        </w:numPr>
        <w:pStyle w:val="Compact"/>
      </w:pPr>
      <w:r>
        <w:t xml:space="preserve">Austausch von Erfahrungen und Informationen zu Normen, GEG und Förderbedingungen.</w:t>
      </w:r>
    </w:p>
    <w:p>
      <w:pPr>
        <w:numPr>
          <w:ilvl w:val="0"/>
          <w:numId w:val="1001"/>
        </w:numPr>
        <w:pStyle w:val="Compact"/>
      </w:pPr>
      <w:r>
        <w:t xml:space="preserve">Jedes Projekt wird durch ein eigenes Auftragsverhältnis zwischen dem Kunden und dem jeweiligen Partner geregelt. Dieser Vertrag begründet</w:t>
      </w:r>
      <w:r>
        <w:t xml:space="preserve"> </w:t>
      </w:r>
      <w:r>
        <w:rPr>
          <w:bCs/>
          <w:b/>
        </w:rPr>
        <w:t xml:space="preserve">keine Pflicht</w:t>
      </w:r>
      <w:r>
        <w:t xml:space="preserve">, einzelne Projekte zu vermitteln oder anzunehmen.</w:t>
      </w:r>
    </w:p>
    <w:p>
      <w:pPr>
        <w:numPr>
          <w:ilvl w:val="0"/>
          <w:numId w:val="1001"/>
        </w:numPr>
        <w:pStyle w:val="Compact"/>
      </w:pPr>
      <w:r>
        <w:t xml:space="preserve">Eine Exklusivität besteht nicht, sofern nicht in Anlage [ ] vereinbart.</w:t>
      </w:r>
    </w:p>
    <w:bookmarkEnd w:id="22"/>
    <w:bookmarkStart w:id="23" w:name="rollenverteilung"/>
    <w:p>
      <w:pPr>
        <w:pStyle w:val="Heading2"/>
      </w:pPr>
      <w:r>
        <w:t xml:space="preserve">§ 2 Rollenverteilung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Energieberater:</w:t>
      </w:r>
      <w:r>
        <w:t xml:space="preserve"> </w:t>
      </w:r>
      <w:r>
        <w:t xml:space="preserve">Bestandsaufnahme, Sanierungskonzept, Heizlast- und Wirtschaftlichkeitsbetrachtung, Begleitung der Förderanträge, fachliche Prüfung der Fördervoraussetzungen und Bestätigung nach Durchführung (soweit er dazu berechtigt ist).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Fachbetrieb:</w:t>
      </w:r>
      <w:r>
        <w:t xml:space="preserve"> </w:t>
      </w:r>
      <w:r>
        <w:t xml:space="preserve">Detailplanung, Angebot, Installation, hydraulischer Abgleich, Inbetriebnahme, Einweisung des Kunden, Gewährleistung für die eigenen Gewerke.</w:t>
      </w:r>
    </w:p>
    <w:p>
      <w:pPr>
        <w:numPr>
          <w:ilvl w:val="0"/>
          <w:numId w:val="1003"/>
        </w:numPr>
        <w:pStyle w:val="Compact"/>
      </w:pPr>
      <w:r>
        <w:t xml:space="preserve">Die Parteien sind selbstständige Unternehmer. Es wird kein Arbeits-, Gesellschafts- oder Vertretungsverhältnis begründet. Keine Partei ist berechtigt, die andere zu vertreten oder zu verpflichten.</w:t>
      </w:r>
    </w:p>
    <w:p>
      <w:pPr>
        <w:numPr>
          <w:ilvl w:val="0"/>
          <w:numId w:val="1003"/>
        </w:numPr>
        <w:pStyle w:val="Compact"/>
      </w:pPr>
      <w:r>
        <w:t xml:space="preserve">Fachliche Entscheidungen innerhalb des eigenen Verantwortungsbereichs trifft jede Partei eigenständig.</w:t>
      </w:r>
    </w:p>
    <w:bookmarkEnd w:id="23"/>
    <w:bookmarkStart w:id="24" w:name="X88764c1c372e7ad50257e8f000f506d89ad5602"/>
    <w:p>
      <w:pPr>
        <w:pStyle w:val="Heading2"/>
      </w:pPr>
      <w:r>
        <w:t xml:space="preserve">§ 3 Unabhängigkeit des Energieberaters / Transparenz gegenüber Kunden</w:t>
      </w:r>
    </w:p>
    <w:p>
      <w:pPr>
        <w:numPr>
          <w:ilvl w:val="0"/>
          <w:numId w:val="1004"/>
        </w:numPr>
        <w:pStyle w:val="Compact"/>
      </w:pPr>
      <w:r>
        <w:t xml:space="preserve">Der Energieberater bleibt produkt- und anbieterneutral. Der Fachbetrieb wird dem Kunden</w:t>
      </w:r>
      <w:r>
        <w:t xml:space="preserve"> </w:t>
      </w:r>
      <w:r>
        <w:rPr>
          <w:bCs/>
          <w:b/>
        </w:rPr>
        <w:t xml:space="preserve">als eine von mehreren Möglichkeiten</w:t>
      </w:r>
      <w:r>
        <w:t xml:space="preserve"> </w:t>
      </w:r>
      <w:r>
        <w:t xml:space="preserve">empfohlen; der Kunde ist frei in der Wahl seines Auftragnehmers.</w:t>
      </w:r>
    </w:p>
    <w:p>
      <w:pPr>
        <w:numPr>
          <w:ilvl w:val="0"/>
          <w:numId w:val="1004"/>
        </w:numPr>
        <w:pStyle w:val="Compact"/>
      </w:pPr>
      <w:r>
        <w:t xml:space="preserve">Die Kooperation und etwaige Vergütungen nach § 5 werden dem Kunden</w:t>
      </w:r>
      <w:r>
        <w:t xml:space="preserve"> </w:t>
      </w:r>
      <w:r>
        <w:rPr>
          <w:bCs/>
          <w:b/>
        </w:rPr>
        <w:t xml:space="preserve">vor Beauftragung offengelegt</w:t>
      </w:r>
      <w:r>
        <w:t xml:space="preserve">. Eine Empfehlung erfolgt nur, wenn sie fachlich begründet ist.</w:t>
      </w:r>
    </w:p>
    <w:p>
      <w:pPr>
        <w:numPr>
          <w:ilvl w:val="0"/>
          <w:numId w:val="1004"/>
        </w:numPr>
        <w:pStyle w:val="Compact"/>
      </w:pPr>
      <w:r>
        <w:t xml:space="preserve">Fördervorgaben (z. B. Pflicht zur Unabhängigkeit des Energieeffizienz-Experten bei geförderten Maßnahmen) sind einzuhalten. Die Parteien prüfen vor Projektbeginn, ob die jeweilige Förderrichtlinie eine Vergütung oder wirtschaftliche Verflechtung zwischen Energieberater und Ausführendem ausschließt; im Zweifel entfällt die Vergütung nach § 5 für dieses Projekt.</w:t>
      </w:r>
    </w:p>
    <w:bookmarkEnd w:id="24"/>
    <w:bookmarkStart w:id="25" w:name="pflichten-der-parteien"/>
    <w:p>
      <w:pPr>
        <w:pStyle w:val="Heading2"/>
      </w:pPr>
      <w:r>
        <w:t xml:space="preserve">§ 4 Pflichten der Parteien</w:t>
      </w:r>
    </w:p>
    <w:p>
      <w:pPr>
        <w:numPr>
          <w:ilvl w:val="0"/>
          <w:numId w:val="1005"/>
        </w:numPr>
        <w:pStyle w:val="Compact"/>
      </w:pPr>
      <w:r>
        <w:t xml:space="preserve">Die Parteien arbeiten vertrauensvoll zusammen, stimmen Termine rechtzeitig ab und benennen jeweils einen Ansprechpartner.</w:t>
      </w:r>
    </w:p>
    <w:p>
      <w:pPr>
        <w:numPr>
          <w:ilvl w:val="0"/>
          <w:numId w:val="1005"/>
        </w:numPr>
        <w:pStyle w:val="Compact"/>
      </w:pPr>
      <w:r>
        <w:t xml:space="preserve">Der Fachbetrieb führt die Arbeiten nach den anerkannten Regeln der Technik und den Fördervorgaben aus, erstellt die erforderlichen Nachweise wahrheitsgemäß und stellt sie dem Energieberater bzw. Kunden rechtzeitig zur Verfügung.</w:t>
      </w:r>
    </w:p>
    <w:p>
      <w:pPr>
        <w:numPr>
          <w:ilvl w:val="0"/>
          <w:numId w:val="1005"/>
        </w:numPr>
        <w:pStyle w:val="Compact"/>
      </w:pPr>
      <w:r>
        <w:t xml:space="preserve">Der Energieberater übergibt dem Fachbetrieb die für die Auslegung relevanten Daten (Gebäudedaten, Heizlast, Sanierungsmaßnahmen) und weist auf Abweichungen von der Planung hin, sobald er sie erkennt.</w:t>
      </w:r>
    </w:p>
    <w:p>
      <w:pPr>
        <w:numPr>
          <w:ilvl w:val="0"/>
          <w:numId w:val="1005"/>
        </w:numPr>
        <w:pStyle w:val="Compact"/>
      </w:pPr>
      <w:r>
        <w:t xml:space="preserve">Beide Parteien halten die gewerberechtlichen Voraussetzungen ein und weisen sie auf Verlangen nach (Handwerksrolle, Expertenlistung, Schulungsnachweise).</w:t>
      </w:r>
    </w:p>
    <w:p>
      <w:pPr>
        <w:numPr>
          <w:ilvl w:val="0"/>
          <w:numId w:val="1005"/>
        </w:numPr>
        <w:pStyle w:val="Compact"/>
      </w:pPr>
      <w:r>
        <w:t xml:space="preserve">Unterschriften und Bestätigungen werden nur geleistet, wenn die zugrunde liegende Leistung</w:t>
      </w:r>
      <w:r>
        <w:t xml:space="preserve"> </w:t>
      </w:r>
      <w:r>
        <w:rPr>
          <w:bCs/>
          <w:b/>
        </w:rPr>
        <w:t xml:space="preserve">tatsächlich erbracht und geprüft</w:t>
      </w:r>
      <w:r>
        <w:t xml:space="preserve"> </w:t>
      </w:r>
      <w:r>
        <w:t xml:space="preserve">wurde.</w:t>
      </w:r>
    </w:p>
    <w:bookmarkEnd w:id="25"/>
    <w:bookmarkStart w:id="26" w:name="vergütung-vermittlungsprovision"/>
    <w:p>
      <w:pPr>
        <w:pStyle w:val="Heading2"/>
      </w:pPr>
      <w:r>
        <w:t xml:space="preserve">§ 5 Vergütung / Vermittlungsprovision</w:t>
      </w:r>
    </w:p>
    <w:p>
      <w:pPr>
        <w:pStyle w:val="FirstParagraph"/>
      </w:pPr>
      <w:r>
        <w:rPr>
          <w:iCs/>
          <w:i/>
        </w:rPr>
        <w:t xml:space="preserve">Variante A – keine Vergütung (Standard, empfohlen bei geförderten Vorhaben):</w:t>
      </w:r>
      <w:r>
        <w:t xml:space="preserve"> </w:t>
      </w:r>
      <w:r>
        <w:t xml:space="preserve">Jede Partei trägt ihre eigenen Kosten. Für Empfehlungen wird keine Vergütung gezahlt.</w:t>
      </w:r>
    </w:p>
    <w:p>
      <w:pPr>
        <w:pStyle w:val="BodyText"/>
      </w:pPr>
      <w:r>
        <w:rPr>
          <w:iCs/>
          <w:i/>
        </w:rPr>
        <w:t xml:space="preserve">Variante B – Vergütung für nicht geförderte Projekte:</w:t>
      </w:r>
      <w:r>
        <w:t xml:space="preserve"> </w:t>
      </w:r>
      <w:r>
        <w:t xml:space="preserve">1. Für ein vom Energieberater vermitteltes und vom Fachbetrieb beauftragtes Projekt zahlt der Fachbetrieb [ ] % des Nettoauftragswerts / pauschal [ ] EUR netto, zuzüglich gesetzlicher Umsatzsteuer, fällig [30] Tage nach Zahlungseingang der Schlussrechnung des Kunden.</w:t>
      </w:r>
      <w:r>
        <w:t xml:space="preserve"> </w:t>
      </w:r>
      <w:r>
        <w:t xml:space="preserve">2. Die Vergütung entfällt bei Projekten mit Förderung, bei denen die Förderrichtlinie sie ausschließt (§ 3 Abs. 3), sowie bei Nichtzustandekommen oder Rückabwicklung des Auftrags.</w:t>
      </w:r>
      <w:r>
        <w:t xml:space="preserve"> </w:t>
      </w:r>
      <w:r>
        <w:t xml:space="preserve">3. Für Leistungen des Fachbetriebs an den Energieberater (z. B. technische Prüfungen oder Gutachten) gilt die gesondert vereinbarte Vergütung nach Anlage [ ] (Leistungs- und Preisübersicht).</w:t>
      </w:r>
    </w:p>
    <w:bookmarkEnd w:id="26"/>
    <w:bookmarkStart w:id="27" w:name="marketing-und-außendarstellung"/>
    <w:p>
      <w:pPr>
        <w:pStyle w:val="Heading2"/>
      </w:pPr>
      <w:r>
        <w:t xml:space="preserve">§ 6 Marketing und Außendarstellung</w:t>
      </w:r>
    </w:p>
    <w:p>
      <w:pPr>
        <w:numPr>
          <w:ilvl w:val="0"/>
          <w:numId w:val="1006"/>
        </w:numPr>
        <w:pStyle w:val="Compact"/>
      </w:pPr>
      <w:r>
        <w:t xml:space="preserve">Die Parteien dürfen auf die Zusammenarbeit hinweisen („Kooperationspartner von …“), jedoch nur wahrheitsgemäß und ohne den Eindruck einer gesellschaftsrechtlichen Verbindung.</w:t>
      </w:r>
    </w:p>
    <w:p>
      <w:pPr>
        <w:numPr>
          <w:ilvl w:val="0"/>
          <w:numId w:val="1006"/>
        </w:numPr>
        <w:pStyle w:val="Compact"/>
      </w:pPr>
      <w:r>
        <w:t xml:space="preserve">Die Nutzung von Namen, Logos und Referenzen der anderen Partei erfordert deren vorherige Zustimmung in Textform; sie ist jederzeit widerruflich.</w:t>
      </w:r>
    </w:p>
    <w:p>
      <w:pPr>
        <w:numPr>
          <w:ilvl w:val="0"/>
          <w:numId w:val="1006"/>
        </w:numPr>
        <w:pStyle w:val="Compact"/>
      </w:pPr>
      <w:r>
        <w:t xml:space="preserve">Werbung muss den Vorschriften des UWG sowie den Vorgaben der Förderprogramme entsprechen.</w:t>
      </w:r>
    </w:p>
    <w:bookmarkEnd w:id="27"/>
    <w:bookmarkStart w:id="28" w:name="haftung-und-versicherung"/>
    <w:p>
      <w:pPr>
        <w:pStyle w:val="Heading2"/>
      </w:pPr>
      <w:r>
        <w:t xml:space="preserve">§ 7 Haftung und Versicherung</w:t>
      </w:r>
    </w:p>
    <w:p>
      <w:pPr>
        <w:numPr>
          <w:ilvl w:val="0"/>
          <w:numId w:val="1007"/>
        </w:numPr>
        <w:pStyle w:val="Compact"/>
      </w:pPr>
      <w:r>
        <w:t xml:space="preserve">Jede Partei haftet für ihre eigenen Leistungen gegenüber dem Kunden. Eine gesamtschuldnerische Haftung wird nicht begründet.</w:t>
      </w:r>
    </w:p>
    <w:p>
      <w:pPr>
        <w:numPr>
          <w:ilvl w:val="0"/>
          <w:numId w:val="1007"/>
        </w:numPr>
        <w:pStyle w:val="Compact"/>
      </w:pPr>
      <w:r>
        <w:t xml:space="preserve">Der Fachbetrieb haftet nicht für Planungs- und Beratungsfehler des Energieberaters, der Energieberater nicht für Mängel der Installation, soweit sie bei sorgfältiger Prüfung nicht erkennbar waren.</w:t>
      </w:r>
    </w:p>
    <w:p>
      <w:pPr>
        <w:numPr>
          <w:ilvl w:val="0"/>
          <w:numId w:val="1007"/>
        </w:numPr>
        <w:pStyle w:val="Compact"/>
      </w:pPr>
      <w:r>
        <w:t xml:space="preserve">Die Haftung ist bei leichter Fahrlässigkeit auf typische, vorhersehbare Schäden und der Höhe nach auf [ ] EUR je Schadensfall begrenzt. Unberührt bleiben Haftung für Vorsatz, grobe Fahrlässigkeit, Verletzung von Leben, Körper und Gesundheit sowie zwingende gesetzliche Haftung.</w:t>
      </w:r>
    </w:p>
    <w:p>
      <w:pPr>
        <w:numPr>
          <w:ilvl w:val="0"/>
          <w:numId w:val="1007"/>
        </w:numPr>
        <w:pStyle w:val="Compact"/>
      </w:pPr>
      <w:r>
        <w:t xml:space="preserve">Jede Partei unterhält eine Betriebshaftpflichtversicherung (Energieberater zusätzlich Vermögensschadenhaftpflicht), Mindestdeckung [ ] EUR, und weist diese auf Verlangen nach.</w:t>
      </w:r>
    </w:p>
    <w:p>
      <w:pPr>
        <w:numPr>
          <w:ilvl w:val="0"/>
          <w:numId w:val="1007"/>
        </w:numPr>
        <w:pStyle w:val="Compact"/>
      </w:pPr>
      <w:r>
        <w:t xml:space="preserve">Wird eine Förderung wegen fehlerhafter Nachweise einer Partei zurückgefordert, stellt diese die andere Partei von daraus entstehenden Ansprüchen frei.</w:t>
      </w:r>
    </w:p>
    <w:bookmarkEnd w:id="28"/>
    <w:bookmarkStart w:id="29" w:name="vertraulichkeit-und-datenschutz"/>
    <w:p>
      <w:pPr>
        <w:pStyle w:val="Heading2"/>
      </w:pPr>
      <w:r>
        <w:t xml:space="preserve">§ 8 Vertraulichkeit und Datenschutz</w:t>
      </w:r>
    </w:p>
    <w:p>
      <w:pPr>
        <w:numPr>
          <w:ilvl w:val="0"/>
          <w:numId w:val="1008"/>
        </w:numPr>
        <w:pStyle w:val="Compact"/>
      </w:pPr>
      <w:r>
        <w:t xml:space="preserve">Die Parteien behandeln alle nicht öffentlichen Informationen, insbesondere Kunden-, Preis- und Konditionsdaten, vertraulich, auch über das Vertragsende hinaus.</w:t>
      </w:r>
    </w:p>
    <w:p>
      <w:pPr>
        <w:numPr>
          <w:ilvl w:val="0"/>
          <w:numId w:val="1008"/>
        </w:numPr>
        <w:pStyle w:val="Compact"/>
      </w:pPr>
      <w:r>
        <w:t xml:space="preserve">Personenbezogene Daten von Kunden werden nur mit deren Einwilligung oder auf anderer gesetzlicher Grundlage (Art. 6 DSGVO) weitergegeben und ausschließlich zur Projektabwicklung verwendet. Soweit erforderlich, schließen die Parteien eine Vereinbarung zur gemeinsamen Verantwortlichkeit (Art. 26 DSGVO) bzw. Auftragsverarbeitung (Art. 28 DSGVO).</w:t>
      </w:r>
    </w:p>
    <w:p>
      <w:pPr>
        <w:numPr>
          <w:ilvl w:val="0"/>
          <w:numId w:val="1008"/>
        </w:numPr>
        <w:pStyle w:val="Compact"/>
      </w:pPr>
      <w:r>
        <w:t xml:space="preserve">Kundenbeziehungen bleiben bei der jeweiligen Partei; Kundendaten dürfen nicht für eigene Werbezwecke der anderen Partei genutzt werden.</w:t>
      </w:r>
    </w:p>
    <w:bookmarkEnd w:id="29"/>
    <w:bookmarkStart w:id="30" w:name="laufzeit-und-kündigung"/>
    <w:p>
      <w:pPr>
        <w:pStyle w:val="Heading2"/>
      </w:pPr>
      <w:r>
        <w:t xml:space="preserve">§ 9 Laufzeit und Kündigung</w:t>
      </w:r>
    </w:p>
    <w:p>
      <w:pPr>
        <w:numPr>
          <w:ilvl w:val="0"/>
          <w:numId w:val="1009"/>
        </w:numPr>
        <w:pStyle w:val="Compact"/>
      </w:pPr>
      <w:r>
        <w:t xml:space="preserve">Der Vertrag beginnt am [Datum] und läuft [auf unbestimmte Zeit / für [12] Monate mit automatischer Verlängerung um je [12] Monate].</w:t>
      </w:r>
    </w:p>
    <w:p>
      <w:pPr>
        <w:numPr>
          <w:ilvl w:val="0"/>
          <w:numId w:val="1009"/>
        </w:numPr>
        <w:pStyle w:val="Compact"/>
      </w:pPr>
      <w:r>
        <w:t xml:space="preserve">Er kann von jeder Partei mit einer Frist von [3] Monaten zum Monatsende in Textform gekündigt werden.</w:t>
      </w:r>
    </w:p>
    <w:p>
      <w:pPr>
        <w:numPr>
          <w:ilvl w:val="0"/>
          <w:numId w:val="1009"/>
        </w:numPr>
        <w:pStyle w:val="Compact"/>
      </w:pPr>
      <w:r>
        <w:t xml:space="preserve">Das Recht zur außerordentlichen Kündigung aus wichtigem Grund bleibt unberührt, insbesondere bei Verlust der Handwerksrolleneintragung bzw. Expertenlistung, Wegfall des Versicherungsschutzes, Verstoß gegen Fördervorgaben oder Vertraulichkeit.</w:t>
      </w:r>
    </w:p>
    <w:p>
      <w:pPr>
        <w:numPr>
          <w:ilvl w:val="0"/>
          <w:numId w:val="1009"/>
        </w:numPr>
        <w:pStyle w:val="Compact"/>
      </w:pPr>
      <w:r>
        <w:t xml:space="preserve">Laufende Projekte werden nach den bisherigen Bedingungen zu Ende geführt. Vergütungsansprüche für bereits vermittelte Projekte bleiben bestehen.</w:t>
      </w:r>
    </w:p>
    <w:bookmarkEnd w:id="30"/>
    <w:bookmarkStart w:id="31" w:name="schlussbestimmungen"/>
    <w:p>
      <w:pPr>
        <w:pStyle w:val="Heading2"/>
      </w:pPr>
      <w:r>
        <w:t xml:space="preserve">§ 10 Schlussbestimmungen</w:t>
      </w:r>
    </w:p>
    <w:p>
      <w:pPr>
        <w:numPr>
          <w:ilvl w:val="0"/>
          <w:numId w:val="1010"/>
        </w:numPr>
        <w:pStyle w:val="Compact"/>
      </w:pPr>
      <w:r>
        <w:t xml:space="preserve">Änderungen und Ergänzungen bedürfen der Textform; dies gilt auch für die Aufhebung dieser Klausel.</w:t>
      </w:r>
    </w:p>
    <w:p>
      <w:pPr>
        <w:numPr>
          <w:ilvl w:val="0"/>
          <w:numId w:val="1010"/>
        </w:numPr>
        <w:pStyle w:val="Compact"/>
      </w:pPr>
      <w:r>
        <w:t xml:space="preserve">Es gilt deutsches Recht unter Ausschluss des UN-Kaufrechts. Gerichtsstand ist, soweit zulässig, [Ort].</w:t>
      </w:r>
    </w:p>
    <w:p>
      <w:pPr>
        <w:numPr>
          <w:ilvl w:val="0"/>
          <w:numId w:val="1010"/>
        </w:numPr>
        <w:pStyle w:val="Compact"/>
      </w:pPr>
      <w:r>
        <w:t xml:space="preserve">Die Rechte und Pflichten aus diesem Vertrag dürfen nicht ohne Zustimmung der anderen Partei abgetreten werden.</w:t>
      </w:r>
    </w:p>
    <w:p>
      <w:pPr>
        <w:numPr>
          <w:ilvl w:val="0"/>
          <w:numId w:val="1010"/>
        </w:numPr>
        <w:pStyle w:val="Compact"/>
      </w:pPr>
      <w:r>
        <w:t xml:space="preserve">Sollten einzelne Bestimmungen unwirksam sein, bleibt der Vertrag im Übrigen wirksam (salvatorische Klausel). Die Parteien ersetzen die unwirksame Regelung durch eine wirksame, die dem wirtschaftlichen Zweck am nächsten kommt.</w:t>
      </w:r>
    </w:p>
    <w:p>
      <w:pPr>
        <w:numPr>
          <w:ilvl w:val="0"/>
          <w:numId w:val="1010"/>
        </w:numPr>
        <w:pStyle w:val="Compact"/>
      </w:pPr>
      <w:r>
        <w:t xml:space="preserve">Anlagen: [ ] Nachweis Handwerksrolle / Meisterbrief, [ ] Nachweis Energieeffizienz-Experte, [ ] Versicherungsnachweise, [ ] Leistungs- und Preisübersicht, [ ] Exklusivitätsabrede (optional).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Ort, Datum: ______________________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______________________________         ______________________________</w:t>
      </w:r>
    </w:p>
    <w:p>
      <w:pPr>
        <w:pStyle w:val="BodyText"/>
      </w:pPr>
      <w:r>
        <w:rPr>
          <w:bCs/>
          <w:b/>
        </w:rPr>
        <w:t xml:space="preserve">Energieberater</w:t>
      </w:r>
      <w:r>
        <w:t xml:space="preserve"> </w:t>
      </w:r>
      <w:r>
        <w:t xml:space="preserve">                          </w:t>
      </w:r>
      <w:r>
        <w:t xml:space="preserve"> </w:t>
      </w:r>
      <w:r>
        <w:rPr>
          <w:bCs/>
          <w:b/>
        </w:rPr>
        <w:t xml:space="preserve">Fachbetrieb Heizung / Sanitär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Kooperationsvertrag (Muster) – Energieberatung und Heizung / Sanitär</dc:title>
  <dc:creator/>
  <cp:keywords/>
  <dcterms:created xsi:type="dcterms:W3CDTF">2026-10-25T18:38:03Z</dcterms:created>
  <dcterms:modified xsi:type="dcterms:W3CDTF">2026-10-25T18:38:03Z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