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61.png" ContentType="image/png"/>
  <Override PartName="/word/media/rId56.png" ContentType="image/png"/>
  <Override PartName="/word/media/rId39.png" ContentType="image/png"/>
  <Override PartName="/word/media/rId4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1</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Tore</w:t>
      </w:r>
      <w:r>
        <w:t xml:space="preserve"> </w:t>
      </w:r>
      <w:r>
        <w:t xml:space="preserve">B.</w:t>
      </w:r>
      <w:r>
        <w:t xml:space="preserve"> </w:t>
      </w:r>
      <w:r>
        <w:t xml:space="preserve">Stage</w:t>
      </w:r>
    </w:p>
    <w:p>
      <w:pPr>
        <w:pStyle w:val="Date"/>
      </w:pPr>
      <w:r>
        <w:t xml:space="preserve">2024-01-29</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IL-1B in healthy individuals are generally low, with reports in range of ~10pg/ml in adults for IL-6, and ~2.5 pg/ml IL-1B in adults</w:t>
      </w:r>
      <w:r>
        <w:t xml:space="preserve"> </w:t>
      </w:r>
      <w:r>
        <w:t xml:space="preserve">(2–5)</w:t>
      </w:r>
      <w:r>
        <w:t xml:space="preserve">. In contrast, cytokine levels may be considerably elevated with IL-6 levels of ~140 pg/mL, and I</w:t>
      </w:r>
      <w:r>
        <w:rPr>
          <w:u w:val="single"/>
        </w:rPr>
        <w:t xml:space="preserve">L-1B 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1"/>
    <w:bookmarkStart w:id="33" w:name="methods"/>
    <w:p>
      <w:pPr>
        <w:pStyle w:val="Heading2"/>
      </w:pPr>
      <w:r>
        <w:t xml:space="preserve">Methods</w:t>
      </w:r>
    </w:p>
    <w:bookmarkStart w:id="26" w:name="d-spheroid-culture-of-phhs"/>
    <w:p>
      <w:pPr>
        <w:pStyle w:val="Heading3"/>
      </w:pPr>
      <w:r>
        <w:t xml:space="preserve">3D spheroid culture of PHHs</w:t>
      </w:r>
    </w:p>
    <w:bookmarkStart w:id="22"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2"/>
    <w:bookmarkStart w:id="23"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3"/>
    <w:bookmarkStart w:id="25"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4"/>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5"/>
    <w:bookmarkEnd w:id="26"/>
    <w:bookmarkStart w:id="27"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7"/>
    <w:bookmarkStart w:id="28"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8"/>
    <w:bookmarkStart w:id="30"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9"/>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30"/>
    <w:bookmarkStart w:id="31"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1"/>
    <w:bookmarkStart w:id="32"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End w:id="32"/>
    <w:bookmarkEnd w:id="33"/>
    <w:bookmarkStart w:id="68" w:name="results"/>
    <w:p>
      <w:pPr>
        <w:pStyle w:val="Heading2"/>
      </w:pPr>
      <w:r>
        <w:t xml:space="preserve">Results</w:t>
      </w:r>
    </w:p>
    <w:bookmarkStart w:id="55" w:name="viability-and-morphology"/>
    <w:p>
      <w:pPr>
        <w:pStyle w:val="Heading3"/>
      </w:pPr>
      <w:r>
        <w:t xml:space="preserve">Viability and morphology</w:t>
      </w:r>
    </w:p>
    <w:p>
      <w:pPr>
        <w:pStyle w:val="FirstParagraph"/>
      </w:pPr>
      <w:r>
        <w:t xml:space="preserve">Mean relative viability is seen in</w:t>
      </w:r>
      <w:r>
        <w:t xml:space="preserve"> </w:t>
      </w:r>
      <w:hyperlink w:anchor="fig-viability-relative-overall">
        <w:r>
          <w:rPr>
            <w:rStyle w:val="Hyperlink"/>
          </w:rPr>
          <w:t xml:space="preserve">Figure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7" w:name="fig-viability-relative-overall"/>
          <w:p>
            <w:pPr>
              <w:pStyle w:val="Compact"/>
              <w:jc w:val="center"/>
            </w:pPr>
            <w:r>
              <w:drawing>
                <wp:inline>
                  <wp:extent cx="5334000" cy="3810000"/>
                  <wp:effectExtent b="0" l="0" r="0" t="0"/>
                  <wp:docPr descr="" title="" id="35" name="Picture"/>
                  <a:graphic>
                    <a:graphicData uri="http://schemas.openxmlformats.org/drawingml/2006/picture">
                      <pic:pic>
                        <pic:nvPicPr>
                          <pic:cNvPr descr="index_files/figure-docx/notebooks-viability-Viability-fig-viability-relative-overall-output-1.png" id="36"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Note that the concentration of ATP of donor one on day 5 was to high. Data for this donor/day not trustworthy/viability to high. This yields a steep fall from day 5 to 7</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Viability</w:t>
        </w:r>
      </w:hyperlink>
    </w:p>
    <w:p>
      <w:pPr>
        <w:pStyle w:val="BodyText"/>
      </w:pPr>
      <w:r>
        <w:t xml:space="preserve">The individual viability for each donor is seen in</w:t>
      </w:r>
      <w:r>
        <w:t xml:space="preserve"> </w:t>
      </w:r>
      <w:hyperlink w:anchor="fig-donor-viabilities">
        <w:r>
          <w:rPr>
            <w:rStyle w:val="Hyperlink"/>
          </w:rPr>
          <w:t xml:space="preserve">Figure 2</w:t>
        </w:r>
      </w:hyperlink>
    </w:p>
    <w:tbl>
      <w:tblPr>
        <w:tblStyle w:val="Table"/>
        <w:tblW w:type="pct" w:w="5000"/>
        <w:tblLook w:firstRow="0" w:lastRow="0" w:firstColumn="0" w:lastColumn="0" w:noHBand="0" w:noVBand="0" w:val="0000"/>
        <w:jc w:val="start"/>
        <w:tblLayout w:type="fixed"/>
      </w:tblPr>
      <w:tblGrid>
        <w:gridCol w:w="7920"/>
      </w:tblGrid>
      <w:tr>
        <w:tc>
          <w:tcPr/>
          <w:bookmarkStart w:id="43" w:name="fig-donor-viabilities"/>
          <w:p>
            <w:pPr>
              <w:pStyle w:val="Compact"/>
              <w:jc w:val="center"/>
            </w:pPr>
            <w:bookmarkStart w:id="42" w:name="fig-donor-viabilities"/>
            <w:r>
              <w:drawing>
                <wp:inline>
                  <wp:extent cx="5334000" cy="2667000"/>
                  <wp:effectExtent b="0" l="0" r="0" t="0"/>
                  <wp:docPr descr="" title="" id="40" name="Picture"/>
                  <a:graphic>
                    <a:graphicData uri="http://schemas.openxmlformats.org/drawingml/2006/picture">
                      <pic:pic>
                        <pic:nvPicPr>
                          <pic:cNvPr descr="index_files/figure-docx/notebooks-viability-Viability-fig-donor-viabilities-output-2.png" id="41"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bookmarkEnd w:id="42"/>
          </w:p>
          <w:p>
            <w:pPr>
              <w:jc w:val="center"/>
            </w:pPr>
            <w:pPr>
              <w:jc w:val="start"/>
              <w:spacing w:before="200"/>
              <w:pStyle w:val="ImageCaption"/>
            </w:pPr>
            <w:r>
              <w:t xml:space="preserve">Figure 2</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Viability</w:t>
        </w:r>
      </w:hyperlink>
    </w:p>
    <w:p>
      <w:pPr>
        <w:pStyle w:val="BodyText"/>
      </w:pPr>
      <w:r>
        <w:t xml:space="preserve">Absolute overall viability is seen in</w:t>
      </w:r>
      <w:r>
        <w:t xml:space="preserve"> </w:t>
      </w:r>
      <w:hyperlink w:anchor="fig-viability-absolute-overall">
        <w:r>
          <w:rPr>
            <w:rStyle w:val="Hyperlink"/>
          </w:rPr>
          <w:t xml:space="preserve">Figure 3</w:t>
        </w:r>
      </w:hyperlink>
    </w:p>
    <w:tbl>
      <w:tblPr>
        <w:tblStyle w:val="Table"/>
        <w:tblW w:type="pct" w:w="5000"/>
        <w:tblLook w:firstRow="0" w:lastRow="0" w:firstColumn="0" w:lastColumn="0" w:noHBand="0" w:noVBand="0" w:val="0000"/>
        <w:jc w:val="start"/>
        <w:tblLayout w:type="fixed"/>
      </w:tblPr>
      <w:tblGrid>
        <w:gridCol w:w="7920"/>
      </w:tblGrid>
      <w:tr>
        <w:tc>
          <w:tcPr/>
          <w:bookmarkStart w:id="48" w:name="fig-viability-absolute-overall"/>
          <w:p>
            <w:pPr>
              <w:pStyle w:val="Compact"/>
              <w:jc w:val="center"/>
            </w:pPr>
            <w:r>
              <w:drawing>
                <wp:inline>
                  <wp:extent cx="5334000" cy="3810000"/>
                  <wp:effectExtent b="0" l="0" r="0" t="0"/>
                  <wp:docPr descr="" title="" id="46" name="Picture"/>
                  <a:graphic>
                    <a:graphicData uri="http://schemas.openxmlformats.org/drawingml/2006/picture">
                      <pic:pic>
                        <pic:nvPicPr>
                          <pic:cNvPr descr="index_files/figure-docx/notebooks-viability-Viability-fig-viability-absolute-overall-output-1.png" id="47"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Note that the concentration of ATP of donor one on day 5 was to high. Data for this donor/day not trustworthy/viability to high</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Viability</w:t>
        </w:r>
      </w:hyperlink>
    </w:p>
    <w:p>
      <w:pPr>
        <w:pStyle w:val="BodyText"/>
      </w:pPr>
      <w:r>
        <w:t xml:space="preserve">Morphology of the spheroids over time is seen in</w:t>
      </w:r>
      <w:r>
        <w:t xml:space="preserve"> </w:t>
      </w:r>
      <w:hyperlink w:anchor="fig-morph">
        <w:r>
          <w:rPr>
            <w:rStyle w:val="Hyperlink"/>
          </w:rPr>
          <w:t xml:space="preserve">Figure 4</w:t>
        </w:r>
      </w:hyperlink>
    </w:p>
    <w:tbl>
      <w:tblPr>
        <w:tblStyle w:val="Table"/>
        <w:tblW w:type="pct" w:w="5000"/>
        <w:tblLook w:firstRow="0" w:lastRow="0" w:firstColumn="0" w:lastColumn="0" w:noHBand="0" w:noVBand="0" w:val="0000"/>
        <w:jc w:val="start"/>
        <w:tblLayout w:type="fixed"/>
      </w:tblPr>
      <w:tblGrid>
        <w:gridCol w:w="7920"/>
      </w:tblGrid>
      <w:tr>
        <w:tc>
          <w:tcPr/>
          <w:bookmarkStart w:id="54" w:name="fig-morph"/>
          <w:p>
            <w:pPr>
              <w:pStyle w:val="Compact"/>
              <w:jc w:val="center"/>
            </w:pPr>
            <w:bookmarkStart w:id="53" w:name="fig-morph"/>
            <w:r>
              <w:drawing>
                <wp:inline>
                  <wp:extent cx="5334000" cy="3839473"/>
                  <wp:effectExtent b="0" l="0" r="0" t="0"/>
                  <wp:docPr descr="" title="" id="51" name="Picture"/>
                  <a:graphic>
                    <a:graphicData uri="http://schemas.openxmlformats.org/drawingml/2006/picture">
                      <pic:pic>
                        <pic:nvPicPr>
                          <pic:cNvPr descr="images/morphology_AS0006.png" id="52" name="Picture"/>
                          <pic:cNvPicPr>
                            <a:picLocks noChangeArrowheads="1" noChangeAspect="1"/>
                          </pic:cNvPicPr>
                        </pic:nvPicPr>
                        <pic:blipFill>
                          <a:blip r:embed="rId50"/>
                          <a:stretch>
                            <a:fillRect/>
                          </a:stretch>
                        </pic:blipFill>
                        <pic:spPr bwMode="auto">
                          <a:xfrm>
                            <a:off x="0" y="0"/>
                            <a:ext cx="5334000" cy="3839473"/>
                          </a:xfrm>
                          <a:prstGeom prst="rect">
                            <a:avLst/>
                          </a:prstGeom>
                          <a:noFill/>
                          <a:ln w="9525">
                            <a:noFill/>
                            <a:headEnd/>
                            <a:tailEnd/>
                          </a:ln>
                        </pic:spPr>
                      </pic:pic>
                    </a:graphicData>
                  </a:graphic>
                </wp:inline>
              </w:drawing>
            </w:r>
            <w:bookmarkEnd w:id="53"/>
          </w:p>
          <w:p>
            <w:pPr>
              <w:jc w:val="center"/>
            </w:pPr>
            <w:pPr>
              <w:jc w:val="start"/>
              <w:spacing w:before="200"/>
              <w:pStyle w:val="ImageCaption"/>
            </w:pPr>
            <w:r>
              <w:t xml:space="preserve">Figure 4</w:t>
            </w:r>
          </w:p>
          <w:bookmarkEnd w:id="54"/>
        </w:tc>
      </w:tr>
    </w:tbl>
    <w:bookmarkEnd w:id="55"/>
    <w:bookmarkStart w:id="66" w:name="mrna"/>
    <w:p>
      <w:pPr>
        <w:pStyle w:val="Heading3"/>
      </w:pPr>
      <w:r>
        <w:t xml:space="preserve">mRNA</w:t>
      </w:r>
    </w:p>
    <w:tbl>
      <w:tblPr>
        <w:tblStyle w:val="Table"/>
        <w:tblW w:type="pct" w:w="5000"/>
        <w:tblLook w:firstRow="0" w:lastRow="0" w:firstColumn="0" w:lastColumn="0" w:noHBand="0" w:noVBand="0" w:val="0000"/>
        <w:jc w:val="start"/>
        <w:tblLayout w:type="fixed"/>
      </w:tblPr>
      <w:tblGrid>
        <w:gridCol w:w="7920"/>
      </w:tblGrid>
      <w:tr>
        <w:tc>
          <w:tcPr/>
          <w:bookmarkStart w:id="59" w:name="fig-mrna-3a4-il6"/>
          <w:p>
            <w:pPr>
              <w:pStyle w:val="Compact"/>
              <w:jc w:val="center"/>
            </w:pPr>
            <w:r>
              <w:drawing>
                <wp:inline>
                  <wp:extent cx="5334000" cy="3810000"/>
                  <wp:effectExtent b="0" l="0" r="0" t="0"/>
                  <wp:docPr descr="" title="" id="57" name="Picture"/>
                  <a:graphic>
                    <a:graphicData uri="http://schemas.openxmlformats.org/drawingml/2006/picture">
                      <pic:pic>
                        <pic:nvPicPr>
                          <pic:cNvPr descr="index_files/figure-docx/notebooks-qPCR-mRNA-fig-mrna-3a4-il6-output-1.png" id="58" name="Picture"/>
                          <pic:cNvPicPr>
                            <a:picLocks noChangeArrowheads="1" noChangeAspect="1"/>
                          </pic:cNvPicPr>
                        </pic:nvPicPr>
                        <pic:blipFill>
                          <a:blip r:embed="rId5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Small points are mean of three donors for 72 and 120 hours, and two donors for 24 hours</w:t>
            </w:r>
          </w:p>
          <w:bookmarkEnd w:id="59"/>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mRNA</w:t>
        </w:r>
      </w:hyperlink>
    </w:p>
    <w:tbl>
      <w:tblPr>
        <w:tblStyle w:val="Table"/>
        <w:tblW w:type="pct" w:w="5000"/>
        <w:tblLook w:firstRow="0" w:lastRow="0" w:firstColumn="0" w:lastColumn="0" w:noHBand="0" w:noVBand="0" w:val="0000"/>
        <w:jc w:val="start"/>
        <w:tblLayout w:type="fixed"/>
      </w:tblPr>
      <w:tblGrid>
        <w:gridCol w:w="7920"/>
      </w:tblGrid>
      <w:tr>
        <w:tc>
          <w:tcPr/>
          <w:bookmarkStart w:id="64" w:name="fig-mrna-120hours"/>
          <w:p>
            <w:pPr>
              <w:pStyle w:val="Compact"/>
              <w:jc w:val="center"/>
            </w:pPr>
            <w:r>
              <w:drawing>
                <wp:inline>
                  <wp:extent cx="5334000" cy="3810000"/>
                  <wp:effectExtent b="0" l="0" r="0" t="0"/>
                  <wp:docPr descr="" title="" id="62" name="Picture"/>
                  <a:graphic>
                    <a:graphicData uri="http://schemas.openxmlformats.org/drawingml/2006/picture">
                      <pic:pic>
                        <pic:nvPicPr>
                          <pic:cNvPr descr="index_files/figure-docx/notebooks-qPCR-mRNA-fig-mrna-120hours-output-1.png" id="63" name="Picture"/>
                          <pic:cNvPicPr>
                            <a:picLocks noChangeArrowheads="1" noChangeAspect="1"/>
                          </pic:cNvPicPr>
                        </pic:nvPicPr>
                        <pic:blipFill>
                          <a:blip r:embed="rId6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Means of each donor for just 120 hours. Donor one had way higher Cq values</w:t>
            </w:r>
          </w:p>
          <w:bookmarkEnd w:id="64"/>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mRNA</w:t>
        </w:r>
      </w:hyperlink>
    </w:p>
    <w:bookmarkEnd w:id="66"/>
    <w:bookmarkStart w:id="67" w:name="activity-1"/>
    <w:p>
      <w:pPr>
        <w:pStyle w:val="Heading3"/>
      </w:pPr>
      <w:r>
        <w:t xml:space="preserve">Activity</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We see a marked decrease in 3A4 activity with high concentrations of IL-6, which corresponds well with the litterature. At lower concentrations we see a much more modest decrease in activity with an activity of 86% relative to vehicle control</w:t>
      </w:r>
    </w:p>
    <w:p>
      <w:pPr>
        <w:pStyle w:val="BodyText"/>
      </w:pPr>
      <w:r>
        <w:t xml:space="preserve">Consider looking into outliers in 120 hour 0.01 ng-IL1B, and 120 hour 0.1 ng-IL6.</w:t>
      </w:r>
    </w:p>
    <w:bookmarkEnd w:id="67"/>
    <w:bookmarkEnd w:id="68"/>
    <w:bookmarkStart w:id="100" w:name="references"/>
    <w:p>
      <w:pPr>
        <w:pStyle w:val="Heading2"/>
      </w:pPr>
      <w:r>
        <w:t xml:space="preserve">References</w:t>
      </w:r>
    </w:p>
    <w:bookmarkStart w:id="99" w:name="refs"/>
    <w:bookmarkStart w:id="70"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69">
        <w:r>
          <w:rPr>
            <w:rStyle w:val="Hyperlink"/>
          </w:rPr>
          <w:t xml:space="preserve">https://onlinelibrary.wiley.com/doi/abs/10.1002/cpt.2432</w:t>
        </w:r>
      </w:hyperlink>
    </w:p>
    <w:bookmarkEnd w:id="70"/>
    <w:bookmarkStart w:id="72"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71">
        <w:r>
          <w:rPr>
            <w:rStyle w:val="Hyperlink"/>
          </w:rPr>
          <w:t xml:space="preserve">https://doi.org/10.1186/1479-5876-9-113</w:t>
        </w:r>
      </w:hyperlink>
    </w:p>
    <w:bookmarkEnd w:id="72"/>
    <w:bookmarkStart w:id="74"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73">
        <w:r>
          <w:rPr>
            <w:rStyle w:val="Hyperlink"/>
          </w:rPr>
          <w:t xml:space="preserve">http://www.hindawi.com/journals/mi/2013/434010/</w:t>
        </w:r>
      </w:hyperlink>
    </w:p>
    <w:bookmarkEnd w:id="74"/>
    <w:bookmarkStart w:id="76"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75">
        <w:r>
          <w:rPr>
            <w:rStyle w:val="Hyperlink"/>
          </w:rPr>
          <w:t xml:space="preserve">https://onlinelibrary.wiley.com/doi/abs/10.1002/jmv.26654</w:t>
        </w:r>
      </w:hyperlink>
    </w:p>
    <w:bookmarkEnd w:id="76"/>
    <w:bookmarkStart w:id="78"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77">
        <w:r>
          <w:rPr>
            <w:rStyle w:val="Hyperlink"/>
          </w:rPr>
          <w:t xml:space="preserve">https://doi.org/10.1186/s13075-020-02344-3</w:t>
        </w:r>
      </w:hyperlink>
    </w:p>
    <w:bookmarkEnd w:id="78"/>
    <w:bookmarkStart w:id="80"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Cs/>
          <w:i/>
        </w:rPr>
        <w:t xml:space="preserve">α</w:t>
      </w:r>
      <w:r>
        <w:t xml:space="preserve">, and IL-1</w:t>
      </w:r>
      <w:r>
        <w:rPr>
          <w:iCs/>
          <w:i/>
        </w:rPr>
        <w:t xml:space="preserve">β</w:t>
      </w:r>
      <w:r>
        <w:t xml:space="preserve">) on Clinical Manifestations in Indian SLE Patients. Mediators of Inflammation [Internet]. 2014 Dec 7;2014:e385297. Available from:</w:t>
      </w:r>
      <w:r>
        <w:t xml:space="preserve"> </w:t>
      </w:r>
      <w:hyperlink r:id="rId79">
        <w:r>
          <w:rPr>
            <w:rStyle w:val="Hyperlink"/>
          </w:rPr>
          <w:t xml:space="preserve">https://www.hindawi.com/journals/mi/2014/385297/</w:t>
        </w:r>
      </w:hyperlink>
    </w:p>
    <w:bookmarkEnd w:id="80"/>
    <w:bookmarkStart w:id="82"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81">
        <w:r>
          <w:rPr>
            <w:rStyle w:val="Hyperlink"/>
          </w:rPr>
          <w:t xml:space="preserve">https://www.cochranelibrary.com/cdsr/doi/10.1002/14651858.CD011811.pub2/full</w:t>
        </w:r>
      </w:hyperlink>
    </w:p>
    <w:bookmarkEnd w:id="82"/>
    <w:bookmarkStart w:id="84" w:name="ref-bell2016"/>
    <w:p>
      <w:pPr>
        <w:pStyle w:val="Bibliography"/>
      </w:pPr>
      <w:r>
        <w:t xml:space="preserve">8.</w:t>
      </w:r>
      <w:r>
        <w:t xml:space="preserve"> </w:t>
      </w:r>
      <w:r>
        <w:t xml:space="preserve">	</w:t>
      </w:r>
      <w:r>
        <w:t xml:space="preserve">Bell CC, Hendriks DFG, Moro SML, Ellis E, Walsh J, Renblom A, et al.</w:t>
      </w:r>
      <w:r>
        <w:t xml:space="preserve"> </w:t>
      </w:r>
      <w:hyperlink r:id="rId83">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84"/>
    <w:bookmarkStart w:id="86"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85">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86"/>
    <w:bookmarkStart w:id="88"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87">
        <w:r>
          <w:rPr>
            <w:rStyle w:val="Hyperlink"/>
          </w:rPr>
          <w:t xml:space="preserve">https://onlinelibrary.wiley.com/doi/abs/10.1002/cpt.2887</w:t>
        </w:r>
      </w:hyperlink>
    </w:p>
    <w:bookmarkEnd w:id="88"/>
    <w:bookmarkStart w:id="90"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89">
        <w:r>
          <w:rPr>
            <w:rStyle w:val="Hyperlink"/>
          </w:rPr>
          <w:t xml:space="preserve">https://onlinelibrary.wiley.com/doi/abs/10.1111/bcpt.13587</w:t>
        </w:r>
      </w:hyperlink>
    </w:p>
    <w:bookmarkEnd w:id="90"/>
    <w:bookmarkStart w:id="92"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91">
        <w:r>
          <w:rPr>
            <w:rStyle w:val="Hyperlink"/>
          </w:rPr>
          <w:t xml:space="preserve">https://www.sciencedirect.com/science/article/pii/S2215016118300773</w:t>
        </w:r>
      </w:hyperlink>
    </w:p>
    <w:bookmarkEnd w:id="92"/>
    <w:bookmarkStart w:id="94"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93">
        <w:r>
          <w:rPr>
            <w:rStyle w:val="Hyperlink"/>
          </w:rPr>
          <w:t xml:space="preserve">https://www.sciencedirect.com/science/article/pii/S1046202309002461</w:t>
        </w:r>
      </w:hyperlink>
    </w:p>
    <w:bookmarkEnd w:id="94"/>
    <w:bookmarkStart w:id="96"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95">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96"/>
    <w:bookmarkStart w:id="98"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97">
        <w:r>
          <w:rPr>
            <w:rStyle w:val="Hyperlink"/>
          </w:rPr>
          <w:t xml:space="preserve">https://dmd.aspetjournals.org/content/48/7/594</w:t>
        </w:r>
      </w:hyperlink>
    </w:p>
    <w:bookmarkEnd w:id="98"/>
    <w:bookmarkEnd w:id="99"/>
    <w:bookmarkEnd w:id="100"/>
    <w:bookmarkStart w:id="101" w:name="supplementary-material"/>
    <w:p>
      <w:pPr>
        <w:pStyle w:val="Heading2"/>
      </w:pPr>
      <w:r>
        <w:t xml:space="preserve">Supplementary material</w:t>
      </w:r>
    </w:p>
    <w:bookmarkEnd w:id="101"/>
    <w:bookmarkStart w:id="102" w:name="thesis-abstract"/>
    <w:p>
      <w:pPr>
        <w:pStyle w:val="Heading2"/>
      </w:pPr>
      <w:r>
        <w:t xml:space="preserve">Thesis abstract</w:t>
      </w:r>
    </w:p>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Skip this?</w:t>
      </w:r>
    </w:p>
  </w:footnote>
  <w:footnote w:id="29">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61" Target="media/rId61.png" /><Relationship Type="http://schemas.openxmlformats.org/officeDocument/2006/relationships/image" Id="rId56" Target="media/rId56.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hyperlink" Id="rId73" Target="http://www.hindawi.com/journals/mi/2013/434010/" TargetMode="External" /><Relationship Type="http://schemas.openxmlformats.org/officeDocument/2006/relationships/hyperlink" Id="rId20" Target="https://andreasludvig.github.io/manuscript_one/index-preview.html" TargetMode="External" /><Relationship Type="http://schemas.openxmlformats.org/officeDocument/2006/relationships/hyperlink" Id="rId65" Target="https://andreasludvig.github.io/manuscript_one/notebooks\qPCR\mRNA-preview.html#cell-fig-mrna-120hours" TargetMode="External" /><Relationship Type="http://schemas.openxmlformats.org/officeDocument/2006/relationships/hyperlink" Id="rId60" Target="https://andreasludvig.github.io/manuscript_one/notebooks\qPCR\mRNA-preview.html#cell-fig-mrna-3a4-il6" TargetMode="External" /><Relationship Type="http://schemas.openxmlformats.org/officeDocument/2006/relationships/hyperlink" Id="rId44" Target="https://andreasludvig.github.io/manuscript_one/notebooks\viability\Viability-preview.html#cell-fig-donor-viabilities" TargetMode="External" /><Relationship Type="http://schemas.openxmlformats.org/officeDocument/2006/relationships/hyperlink" Id="rId49" Target="https://andreasludvig.github.io/manuscript_one/notebooks\viability\Viability-preview.html#cell-fig-viability-absolute-overall" TargetMode="External" /><Relationship Type="http://schemas.openxmlformats.org/officeDocument/2006/relationships/hyperlink" Id="rId38" Target="https://andreasludvig.github.io/manuscript_one/notebooks\viability\Viability-preview.html#cell-fig-viability-relative-overall" TargetMode="External" /><Relationship Type="http://schemas.openxmlformats.org/officeDocument/2006/relationships/hyperlink" Id="rId97" Target="https://dmd.aspetjournals.org/content/48/7/594" TargetMode="External" /><Relationship Type="http://schemas.openxmlformats.org/officeDocument/2006/relationships/hyperlink" Id="rId83" Target="https://doi.org/10.1038/srep25187" TargetMode="External" /><Relationship Type="http://schemas.openxmlformats.org/officeDocument/2006/relationships/hyperlink" Id="rId85" Target="https://doi.org/10.1093/toxsci/kfx289" TargetMode="External" /><Relationship Type="http://schemas.openxmlformats.org/officeDocument/2006/relationships/hyperlink" Id="rId95" Target="https://doi.org/10.1124/dmd.117.078626" TargetMode="External" /><Relationship Type="http://schemas.openxmlformats.org/officeDocument/2006/relationships/hyperlink" Id="rId71" Target="https://doi.org/10.1186/1479-5876-9-113" TargetMode="External" /><Relationship Type="http://schemas.openxmlformats.org/officeDocument/2006/relationships/hyperlink" Id="rId77" Target="https://doi.org/10.1186/s13075-020-02344-3" TargetMode="External" /><Relationship Type="http://schemas.openxmlformats.org/officeDocument/2006/relationships/hyperlink" Id="rId69" Target="https://onlinelibrary.wiley.com/doi/abs/10.1002/cpt.2432" TargetMode="External" /><Relationship Type="http://schemas.openxmlformats.org/officeDocument/2006/relationships/hyperlink" Id="rId87" Target="https://onlinelibrary.wiley.com/doi/abs/10.1002/cpt.2887" TargetMode="External" /><Relationship Type="http://schemas.openxmlformats.org/officeDocument/2006/relationships/hyperlink" Id="rId75" Target="https://onlinelibrary.wiley.com/doi/abs/10.1002/jmv.26654" TargetMode="External" /><Relationship Type="http://schemas.openxmlformats.org/officeDocument/2006/relationships/hyperlink" Id="rId89" Target="https://onlinelibrary.wiley.com/doi/abs/10.1111/bcpt.13587" TargetMode="External" /><Relationship Type="http://schemas.openxmlformats.org/officeDocument/2006/relationships/hyperlink" Id="rId81" Target="https://www.cochranelibrary.com/cdsr/doi/10.1002/14651858.CD011811.pub2/full" TargetMode="External" /><Relationship Type="http://schemas.openxmlformats.org/officeDocument/2006/relationships/hyperlink" Id="rId79" Target="https://www.hindawi.com/journals/mi/2014/385297/" TargetMode="External" /><Relationship Type="http://schemas.openxmlformats.org/officeDocument/2006/relationships/hyperlink" Id="rId93" Target="https://www.sciencedirect.com/science/article/pii/S1046202309002461" TargetMode="External" /><Relationship Type="http://schemas.openxmlformats.org/officeDocument/2006/relationships/hyperlink" Id="rId91"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73" Target="http://www.hindawi.com/journals/mi/2013/434010/" TargetMode="External" /><Relationship Type="http://schemas.openxmlformats.org/officeDocument/2006/relationships/hyperlink" Id="rId20" Target="https://andreasludvig.github.io/manuscript_one/index-preview.html" TargetMode="External" /><Relationship Type="http://schemas.openxmlformats.org/officeDocument/2006/relationships/hyperlink" Id="rId65" Target="https://andreasludvig.github.io/manuscript_one/notebooks\qPCR\mRNA-preview.html#cell-fig-mrna-120hours" TargetMode="External" /><Relationship Type="http://schemas.openxmlformats.org/officeDocument/2006/relationships/hyperlink" Id="rId60" Target="https://andreasludvig.github.io/manuscript_one/notebooks\qPCR\mRNA-preview.html#cell-fig-mrna-3a4-il6" TargetMode="External" /><Relationship Type="http://schemas.openxmlformats.org/officeDocument/2006/relationships/hyperlink" Id="rId44" Target="https://andreasludvig.github.io/manuscript_one/notebooks\viability\Viability-preview.html#cell-fig-donor-viabilities" TargetMode="External" /><Relationship Type="http://schemas.openxmlformats.org/officeDocument/2006/relationships/hyperlink" Id="rId49" Target="https://andreasludvig.github.io/manuscript_one/notebooks\viability\Viability-preview.html#cell-fig-viability-absolute-overall" TargetMode="External" /><Relationship Type="http://schemas.openxmlformats.org/officeDocument/2006/relationships/hyperlink" Id="rId38" Target="https://andreasludvig.github.io/manuscript_one/notebooks\viability\Viability-preview.html#cell-fig-viability-relative-overall" TargetMode="External" /><Relationship Type="http://schemas.openxmlformats.org/officeDocument/2006/relationships/hyperlink" Id="rId97" Target="https://dmd.aspetjournals.org/content/48/7/594" TargetMode="External" /><Relationship Type="http://schemas.openxmlformats.org/officeDocument/2006/relationships/hyperlink" Id="rId83" Target="https://doi.org/10.1038/srep25187" TargetMode="External" /><Relationship Type="http://schemas.openxmlformats.org/officeDocument/2006/relationships/hyperlink" Id="rId85" Target="https://doi.org/10.1093/toxsci/kfx289" TargetMode="External" /><Relationship Type="http://schemas.openxmlformats.org/officeDocument/2006/relationships/hyperlink" Id="rId95" Target="https://doi.org/10.1124/dmd.117.078626" TargetMode="External" /><Relationship Type="http://schemas.openxmlformats.org/officeDocument/2006/relationships/hyperlink" Id="rId71" Target="https://doi.org/10.1186/1479-5876-9-113" TargetMode="External" /><Relationship Type="http://schemas.openxmlformats.org/officeDocument/2006/relationships/hyperlink" Id="rId77" Target="https://doi.org/10.1186/s13075-020-02344-3" TargetMode="External" /><Relationship Type="http://schemas.openxmlformats.org/officeDocument/2006/relationships/hyperlink" Id="rId69" Target="https://onlinelibrary.wiley.com/doi/abs/10.1002/cpt.2432" TargetMode="External" /><Relationship Type="http://schemas.openxmlformats.org/officeDocument/2006/relationships/hyperlink" Id="rId87" Target="https://onlinelibrary.wiley.com/doi/abs/10.1002/cpt.2887" TargetMode="External" /><Relationship Type="http://schemas.openxmlformats.org/officeDocument/2006/relationships/hyperlink" Id="rId75" Target="https://onlinelibrary.wiley.com/doi/abs/10.1002/jmv.26654" TargetMode="External" /><Relationship Type="http://schemas.openxmlformats.org/officeDocument/2006/relationships/hyperlink" Id="rId89" Target="https://onlinelibrary.wiley.com/doi/abs/10.1111/bcpt.13587" TargetMode="External" /><Relationship Type="http://schemas.openxmlformats.org/officeDocument/2006/relationships/hyperlink" Id="rId81" Target="https://www.cochranelibrary.com/cdsr/doi/10.1002/14651858.CD011811.pub2/full" TargetMode="External" /><Relationship Type="http://schemas.openxmlformats.org/officeDocument/2006/relationships/hyperlink" Id="rId79" Target="https://www.hindawi.com/journals/mi/2014/385297/" TargetMode="External" /><Relationship Type="http://schemas.openxmlformats.org/officeDocument/2006/relationships/hyperlink" Id="rId93" Target="https://www.sciencedirect.com/science/article/pii/S1046202309002461" TargetMode="External" /><Relationship Type="http://schemas.openxmlformats.org/officeDocument/2006/relationships/hyperlink" Id="rId91"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1</dc:title>
  <dc:creator>Andreas Ludvig Ohm Svendsen; Tore B. Stage</dc:creator>
  <cp:keywords>3D primary human hepatocytes, Inflammation, Drug metabolism</cp:keywords>
  <dcterms:created xsi:type="dcterms:W3CDTF">2024-02-02T08:11:35Z</dcterms:created>
  <dcterms:modified xsi:type="dcterms:W3CDTF">2024-02-02T08:11:35Z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2024-01-29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