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2024-01-26</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0"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0"/>
    <w:bookmarkStart w:id="32" w:name="methods"/>
    <w:p>
      <w:pPr>
        <w:pStyle w:val="Heading2"/>
      </w:pPr>
      <w:r>
        <w:t xml:space="preserve">Methods</w:t>
      </w:r>
    </w:p>
    <w:bookmarkStart w:id="25" w:name="d-spheroid-culture-of-phhs"/>
    <w:p>
      <w:pPr>
        <w:pStyle w:val="Heading3"/>
      </w:pPr>
      <w:r>
        <w:t xml:space="preserve">3D spheroid culture of PHHs</w:t>
      </w:r>
    </w:p>
    <w:bookmarkStart w:id="21"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1"/>
    <w:bookmarkStart w:id="22"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2"/>
    <w:bookmarkStart w:id="24"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3"/>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4"/>
    <w:bookmarkEnd w:id="25"/>
    <w:bookmarkStart w:id="26"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6"/>
    <w:bookmarkStart w:id="27"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7"/>
    <w:bookmarkStart w:id="29"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8"/>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29"/>
    <w:bookmarkStart w:id="30"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0"/>
    <w:bookmarkStart w:id="31"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1"/>
    <w:bookmarkEnd w:id="32"/>
    <w:bookmarkStart w:id="57" w:name="results"/>
    <w:p>
      <w:pPr>
        <w:pStyle w:val="Heading2"/>
      </w:pPr>
      <w:r>
        <w:t xml:space="preserve">Results</w:t>
      </w:r>
    </w:p>
    <w:bookmarkStart w:id="54" w:name="viability-and-morphology"/>
    <w:p>
      <w:pPr>
        <w:pStyle w:val="Heading3"/>
      </w:pPr>
      <w:r>
        <w:t xml:space="preserve">Viability and morphology</w:t>
      </w:r>
    </w:p>
    <w:p>
      <w:pPr>
        <w:pStyle w:val="FirstParagraph"/>
      </w:pPr>
      <w:r>
        <w:t xml:space="preserve">Mean relative viability is seen in</w:t>
      </w:r>
      <w:r>
        <w:t xml:space="preserve"> </w:t>
      </w:r>
      <w:hyperlink w:anchor="fig-viability-relative-overall">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viability-relative-overall"/>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viability-Viability-fig-viability-relative-overall-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Note that the concentration of ATP of donor one on day 5 was to high. Data for this donor/day not trustworthy/viability to high. This yields a steep fall from day 5 to 7</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Viability</w:t>
        </w:r>
      </w:hyperlink>
    </w:p>
    <w:p>
      <w:pPr>
        <w:pStyle w:val="BodyText"/>
      </w:pPr>
      <w:r>
        <w:t xml:space="preserve">The individual viability for each donor is seen in</w:t>
      </w:r>
      <w:r>
        <w:t xml:space="preserve"> </w:t>
      </w:r>
      <w:hyperlink w:anchor="fig-donor-viabilities">
        <w:r>
          <w:rPr>
            <w:rStyle w:val="Hyperlink"/>
          </w:rPr>
          <w:t xml:space="preserve">Figure 2</w:t>
        </w:r>
      </w:hyperlink>
      <w:r>
        <w:t xml:space="preserve">. This fig is inserted as an image.</w:t>
      </w:r>
    </w:p>
    <w:tbl>
      <w:tblPr>
        <w:tblStyle w:val="Table"/>
        <w:tblW w:type="pct" w:w="5000"/>
        <w:tblLook w:firstRow="0" w:lastRow="0" w:firstColumn="0" w:lastColumn="0" w:noHBand="0" w:noVBand="0" w:val="0000"/>
        <w:jc w:val="start"/>
        <w:tblLayout w:type="fixed"/>
      </w:tblPr>
      <w:tblGrid>
        <w:gridCol w:w="7920"/>
      </w:tblGrid>
      <w:tr>
        <w:tc>
          <w:tcPr/>
          <w:bookmarkStart w:id="42" w:name="fig-donor-viabilities"/>
          <w:p>
            <w:pPr>
              <w:pStyle w:val="Compact"/>
              <w:jc w:val="center"/>
            </w:pPr>
            <w:bookmarkStart w:id="41" w:name="fig-donor-viabilities"/>
            <w:r>
              <w:drawing>
                <wp:inline>
                  <wp:extent cx="5334000" cy="2667000"/>
                  <wp:effectExtent b="0" l="0" r="0" t="0"/>
                  <wp:docPr descr="" title="" id="39" name="Picture"/>
                  <a:graphic>
                    <a:graphicData uri="http://schemas.openxmlformats.org/drawingml/2006/picture">
                      <pic:pic>
                        <pic:nvPicPr>
                          <pic:cNvPr descr="index_files/figure-docx/notebooks-viability-Viability-fig-donor-viabilities-output-2.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bookmarkEnd w:id="41"/>
          </w:p>
          <w:p>
            <w:pPr>
              <w:jc w:val="center"/>
            </w:pPr>
            <w:pPr>
              <w:jc w:val="start"/>
              <w:spacing w:before="200"/>
              <w:pStyle w:val="ImageCaption"/>
            </w:pPr>
            <w:r>
              <w:t xml:space="preserve">Figure 2</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Viability</w:t>
        </w:r>
      </w:hyperlink>
    </w:p>
    <w:p>
      <w:pPr>
        <w:pStyle w:val="BodyText"/>
      </w:pPr>
      <w:r>
        <w:t xml:space="preserve">Absolute overall viability is seen in</w:t>
      </w:r>
      <w:r>
        <w:t xml:space="preserve"> </w:t>
      </w:r>
      <w:hyperlink w:anchor="fig-viability-absolute-overall">
        <w:r>
          <w:rPr>
            <w:rStyle w:val="Hyperlink"/>
          </w:rPr>
          <w:t xml:space="preserve">Figure 3</w:t>
        </w:r>
      </w:hyperlink>
    </w:p>
    <w:tbl>
      <w:tblPr>
        <w:tblStyle w:val="Table"/>
        <w:tblW w:type="pct" w:w="5000"/>
        <w:tblLook w:firstRow="0" w:lastRow="0" w:firstColumn="0" w:lastColumn="0" w:noHBand="0" w:noVBand="0" w:val="0000"/>
        <w:jc w:val="start"/>
        <w:tblLayout w:type="fixed"/>
      </w:tblPr>
      <w:tblGrid>
        <w:gridCol w:w="7920"/>
      </w:tblGrid>
      <w:tr>
        <w:tc>
          <w:tcPr/>
          <w:bookmarkStart w:id="47" w:name="fig-viability-absolute-overall"/>
          <w:p>
            <w:pPr>
              <w:pStyle w:val="Compact"/>
              <w:jc w:val="center"/>
            </w:pPr>
            <w:r>
              <w:drawing>
                <wp:inline>
                  <wp:extent cx="5334000" cy="3810000"/>
                  <wp:effectExtent b="0" l="0" r="0" t="0"/>
                  <wp:docPr descr="" title="" id="45" name="Picture"/>
                  <a:graphic>
                    <a:graphicData uri="http://schemas.openxmlformats.org/drawingml/2006/picture">
                      <pic:pic>
                        <pic:nvPicPr>
                          <pic:cNvPr descr="index_files/figure-docx/notebooks-viability-Viability-fig-viability-absolute-overall-output-1.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Note that the concentration of ATP of donor one on day 5 was to high. Data for this donor/day not trustworthy/viability to high</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Viability</w:t>
        </w:r>
      </w:hyperlink>
    </w:p>
    <w:p>
      <w:pPr>
        <w:pStyle w:val="BodyText"/>
      </w:pPr>
      <w:r>
        <w:t xml:space="preserve">Morphology of the spheroids over time is seen in</w:t>
      </w:r>
      <w:r>
        <w:t xml:space="preserve"> </w:t>
      </w:r>
      <w:hyperlink w:anchor="fig-morph">
        <w:r>
          <w:rPr>
            <w:rStyle w:val="Hyperlink"/>
          </w:rPr>
          <w:t xml:space="preserve">Figure 4</w:t>
        </w:r>
      </w:hyperlink>
    </w:p>
    <w:tbl>
      <w:tblPr>
        <w:tblStyle w:val="Table"/>
        <w:tblW w:type="pct" w:w="5000"/>
        <w:tblLook w:firstRow="0" w:lastRow="0" w:firstColumn="0" w:lastColumn="0" w:noHBand="0" w:noVBand="0" w:val="0000"/>
        <w:jc w:val="start"/>
        <w:tblLayout w:type="fixed"/>
      </w:tblPr>
      <w:tblGrid>
        <w:gridCol w:w="7920"/>
      </w:tblGrid>
      <w:tr>
        <w:tc>
          <w:tcPr/>
          <w:bookmarkStart w:id="53" w:name="fig-morph"/>
          <w:p>
            <w:pPr>
              <w:pStyle w:val="Compact"/>
              <w:jc w:val="center"/>
            </w:pPr>
            <w:bookmarkStart w:id="52" w:name="fig-morph"/>
            <w:r>
              <w:drawing>
                <wp:inline>
                  <wp:extent cx="5334000" cy="3839473"/>
                  <wp:effectExtent b="0" l="0" r="0" t="0"/>
                  <wp:docPr descr="" title="" id="50" name="Picture"/>
                  <a:graphic>
                    <a:graphicData uri="http://schemas.openxmlformats.org/drawingml/2006/picture">
                      <pic:pic>
                        <pic:nvPicPr>
                          <pic:cNvPr descr="images/morphology_AS0006.png" id="51" name="Picture"/>
                          <pic:cNvPicPr>
                            <a:picLocks noChangeArrowheads="1" noChangeAspect="1"/>
                          </pic:cNvPicPr>
                        </pic:nvPicPr>
                        <pic:blipFill>
                          <a:blip r:embed="rId49"/>
                          <a:stretch>
                            <a:fillRect/>
                          </a:stretch>
                        </pic:blipFill>
                        <pic:spPr bwMode="auto">
                          <a:xfrm>
                            <a:off x="0" y="0"/>
                            <a:ext cx="5334000" cy="3839473"/>
                          </a:xfrm>
                          <a:prstGeom prst="rect">
                            <a:avLst/>
                          </a:prstGeom>
                          <a:noFill/>
                          <a:ln w="9525">
                            <a:noFill/>
                            <a:headEnd/>
                            <a:tailEnd/>
                          </a:ln>
                        </pic:spPr>
                      </pic:pic>
                    </a:graphicData>
                  </a:graphic>
                </wp:inline>
              </w:drawing>
            </w:r>
            <w:bookmarkEnd w:id="52"/>
          </w:p>
          <w:p>
            <w:pPr>
              <w:jc w:val="center"/>
            </w:pPr>
            <w:pPr>
              <w:jc w:val="start"/>
              <w:spacing w:before="200"/>
              <w:pStyle w:val="ImageCaption"/>
            </w:pPr>
            <w:r>
              <w:t xml:space="preserve">Figure 4</w:t>
            </w:r>
          </w:p>
          <w:bookmarkEnd w:id="53"/>
        </w:tc>
      </w:tr>
    </w:tbl>
    <w:bookmarkEnd w:id="54"/>
    <w:bookmarkStart w:id="55" w:name="mrna"/>
    <w:p>
      <w:pPr>
        <w:pStyle w:val="Heading3"/>
      </w:pPr>
      <w:r>
        <w:t xml:space="preserve">mRNA</w:t>
      </w:r>
    </w:p>
    <w:bookmarkEnd w:id="55"/>
    <w:bookmarkStart w:id="56" w:name="activity-1"/>
    <w:p>
      <w:pPr>
        <w:pStyle w:val="Heading3"/>
      </w:pPr>
      <w:r>
        <w:t xml:space="preserve">Activity</w:t>
      </w:r>
    </w:p>
    <w:bookmarkEnd w:id="56"/>
    <w:bookmarkEnd w:id="57"/>
    <w:bookmarkStart w:id="89" w:name="references"/>
    <w:p>
      <w:pPr>
        <w:pStyle w:val="Heading2"/>
      </w:pPr>
      <w:r>
        <w:t xml:space="preserve">References</w:t>
      </w:r>
    </w:p>
    <w:bookmarkStart w:id="88" w:name="refs"/>
    <w:bookmarkStart w:id="59"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58">
        <w:r>
          <w:rPr>
            <w:rStyle w:val="Hyperlink"/>
          </w:rPr>
          <w:t xml:space="preserve">https://onlinelibrary.wiley.com/doi/abs/10.1002/cpt.2432</w:t>
        </w:r>
      </w:hyperlink>
    </w:p>
    <w:bookmarkEnd w:id="59"/>
    <w:bookmarkStart w:id="61"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60">
        <w:r>
          <w:rPr>
            <w:rStyle w:val="Hyperlink"/>
          </w:rPr>
          <w:t xml:space="preserve">https://doi.org/10.1186/1479-5876-9-113</w:t>
        </w:r>
      </w:hyperlink>
    </w:p>
    <w:bookmarkEnd w:id="61"/>
    <w:bookmarkStart w:id="63"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62">
        <w:r>
          <w:rPr>
            <w:rStyle w:val="Hyperlink"/>
          </w:rPr>
          <w:t xml:space="preserve">http://www.hindawi.com/journals/mi/2013/434010/</w:t>
        </w:r>
      </w:hyperlink>
    </w:p>
    <w:bookmarkEnd w:id="63"/>
    <w:bookmarkStart w:id="65"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64">
        <w:r>
          <w:rPr>
            <w:rStyle w:val="Hyperlink"/>
          </w:rPr>
          <w:t xml:space="preserve">https://onlinelibrary.wiley.com/doi/abs/10.1002/jmv.26654</w:t>
        </w:r>
      </w:hyperlink>
    </w:p>
    <w:bookmarkEnd w:id="65"/>
    <w:bookmarkStart w:id="67"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66">
        <w:r>
          <w:rPr>
            <w:rStyle w:val="Hyperlink"/>
          </w:rPr>
          <w:t xml:space="preserve">https://doi.org/10.1186/s13075-020-02344-3</w:t>
        </w:r>
      </w:hyperlink>
    </w:p>
    <w:bookmarkEnd w:id="67"/>
    <w:bookmarkStart w:id="69"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68">
        <w:r>
          <w:rPr>
            <w:rStyle w:val="Hyperlink"/>
          </w:rPr>
          <w:t xml:space="preserve">https://www.hindawi.com/journals/mi/2014/385297/</w:t>
        </w:r>
      </w:hyperlink>
    </w:p>
    <w:bookmarkEnd w:id="69"/>
    <w:bookmarkStart w:id="71"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70">
        <w:r>
          <w:rPr>
            <w:rStyle w:val="Hyperlink"/>
          </w:rPr>
          <w:t xml:space="preserve">https://www.cochranelibrary.com/cdsr/doi/10.1002/14651858.CD011811.pub2/full</w:t>
        </w:r>
      </w:hyperlink>
    </w:p>
    <w:bookmarkEnd w:id="71"/>
    <w:bookmarkStart w:id="73" w:name="ref-bell2016"/>
    <w:p>
      <w:pPr>
        <w:pStyle w:val="Bibliography"/>
      </w:pPr>
      <w:r>
        <w:t xml:space="preserve">8.</w:t>
      </w:r>
      <w:r>
        <w:t xml:space="preserve"> </w:t>
      </w:r>
      <w:r>
        <w:t xml:space="preserve">	</w:t>
      </w:r>
      <w:r>
        <w:t xml:space="preserve">Bell CC, Hendriks DFG, Moro SML, Ellis E, Walsh J, Renblom A, et al.</w:t>
      </w:r>
      <w:r>
        <w:t xml:space="preserve"> </w:t>
      </w:r>
      <w:hyperlink r:id="rId72">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73"/>
    <w:bookmarkStart w:id="75"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74">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75"/>
    <w:bookmarkStart w:id="77"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76">
        <w:r>
          <w:rPr>
            <w:rStyle w:val="Hyperlink"/>
          </w:rPr>
          <w:t xml:space="preserve">https://onlinelibrary.wiley.com/doi/abs/10.1002/cpt.2887</w:t>
        </w:r>
      </w:hyperlink>
    </w:p>
    <w:bookmarkEnd w:id="77"/>
    <w:bookmarkStart w:id="79"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78">
        <w:r>
          <w:rPr>
            <w:rStyle w:val="Hyperlink"/>
          </w:rPr>
          <w:t xml:space="preserve">https://onlinelibrary.wiley.com/doi/abs/10.1111/bcpt.13587</w:t>
        </w:r>
      </w:hyperlink>
    </w:p>
    <w:bookmarkEnd w:id="79"/>
    <w:bookmarkStart w:id="81"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80">
        <w:r>
          <w:rPr>
            <w:rStyle w:val="Hyperlink"/>
          </w:rPr>
          <w:t xml:space="preserve">https://www.sciencedirect.com/science/article/pii/S2215016118300773</w:t>
        </w:r>
      </w:hyperlink>
    </w:p>
    <w:bookmarkEnd w:id="81"/>
    <w:bookmarkStart w:id="83"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82">
        <w:r>
          <w:rPr>
            <w:rStyle w:val="Hyperlink"/>
          </w:rPr>
          <w:t xml:space="preserve">https://www.sciencedirect.com/science/article/pii/S1046202309002461</w:t>
        </w:r>
      </w:hyperlink>
    </w:p>
    <w:bookmarkEnd w:id="83"/>
    <w:bookmarkStart w:id="85"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84">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85"/>
    <w:bookmarkStart w:id="87"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86">
        <w:r>
          <w:rPr>
            <w:rStyle w:val="Hyperlink"/>
          </w:rPr>
          <w:t xml:space="preserve">https://dmd.aspetjournals.org/content/48/7/594</w:t>
        </w:r>
      </w:hyperlink>
    </w:p>
    <w:bookmarkEnd w:id="87"/>
    <w:bookmarkEnd w:id="88"/>
    <w:bookmarkEnd w:id="89"/>
    <w:bookmarkStart w:id="90" w:name="supplementary-material"/>
    <w:p>
      <w:pPr>
        <w:pStyle w:val="Heading2"/>
      </w:pPr>
      <w:r>
        <w:t xml:space="preserve">Supplementary material</w:t>
      </w:r>
    </w:p>
    <w:bookmarkEnd w:id="90"/>
    <w:bookmarkStart w:id="91" w:name="thesis-abstract"/>
    <w:p>
      <w:pPr>
        <w:pStyle w:val="Heading2"/>
      </w:pPr>
      <w:r>
        <w:t xml:space="preserve">Thesis abstract</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Skip this?</w:t>
      </w:r>
    </w:p>
  </w:footnote>
  <w:footnote w:id="28">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hyperlink" Id="rId62" Target="http://www.hindawi.com/journals/mi/2013/434010/" TargetMode="External" /><Relationship Type="http://schemas.openxmlformats.org/officeDocument/2006/relationships/hyperlink" Id="rId43" Target="https://andreasludvig.github.io/manuscript_one/notebooks/viability/Viability-preview.html#cell-fig-donor-viabilities" TargetMode="External" /><Relationship Type="http://schemas.openxmlformats.org/officeDocument/2006/relationships/hyperlink" Id="rId48" Target="https://andreasludvig.github.io/manuscript_one/notebooks/viability/Viability-preview.html#cell-fig-viability-absolute-overall" TargetMode="External" /><Relationship Type="http://schemas.openxmlformats.org/officeDocument/2006/relationships/hyperlink" Id="rId37" Target="https://andreasludvig.github.io/manuscript_one/notebooks/viability/Viability-preview.html#cell-fig-viability-relative-overall" TargetMode="External" /><Relationship Type="http://schemas.openxmlformats.org/officeDocument/2006/relationships/hyperlink" Id="rId86" Target="https://dmd.aspetjournals.org/content/48/7/594" TargetMode="External" /><Relationship Type="http://schemas.openxmlformats.org/officeDocument/2006/relationships/hyperlink" Id="rId72" Target="https://doi.org/10.1038/srep25187" TargetMode="External" /><Relationship Type="http://schemas.openxmlformats.org/officeDocument/2006/relationships/hyperlink" Id="rId74" Target="https://doi.org/10.1093/toxsci/kfx289" TargetMode="External" /><Relationship Type="http://schemas.openxmlformats.org/officeDocument/2006/relationships/hyperlink" Id="rId84" Target="https://doi.org/10.1124/dmd.117.078626" TargetMode="External" /><Relationship Type="http://schemas.openxmlformats.org/officeDocument/2006/relationships/hyperlink" Id="rId60" Target="https://doi.org/10.1186/1479-5876-9-113" TargetMode="External" /><Relationship Type="http://schemas.openxmlformats.org/officeDocument/2006/relationships/hyperlink" Id="rId66" Target="https://doi.org/10.1186/s13075-020-02344-3" TargetMode="External" /><Relationship Type="http://schemas.openxmlformats.org/officeDocument/2006/relationships/hyperlink" Id="rId58" Target="https://onlinelibrary.wiley.com/doi/abs/10.1002/cpt.2432" TargetMode="External" /><Relationship Type="http://schemas.openxmlformats.org/officeDocument/2006/relationships/hyperlink" Id="rId76" Target="https://onlinelibrary.wiley.com/doi/abs/10.1002/cpt.2887" TargetMode="External" /><Relationship Type="http://schemas.openxmlformats.org/officeDocument/2006/relationships/hyperlink" Id="rId64" Target="https://onlinelibrary.wiley.com/doi/abs/10.1002/jmv.26654" TargetMode="External" /><Relationship Type="http://schemas.openxmlformats.org/officeDocument/2006/relationships/hyperlink" Id="rId78" Target="https://onlinelibrary.wiley.com/doi/abs/10.1111/bcpt.13587" TargetMode="External" /><Relationship Type="http://schemas.openxmlformats.org/officeDocument/2006/relationships/hyperlink" Id="rId70" Target="https://www.cochranelibrary.com/cdsr/doi/10.1002/14651858.CD011811.pub2/full" TargetMode="External" /><Relationship Type="http://schemas.openxmlformats.org/officeDocument/2006/relationships/hyperlink" Id="rId68" Target="https://www.hindawi.com/journals/mi/2014/385297/" TargetMode="External" /><Relationship Type="http://schemas.openxmlformats.org/officeDocument/2006/relationships/hyperlink" Id="rId82" Target="https://www.sciencedirect.com/science/article/pii/S1046202309002461" TargetMode="External" /><Relationship Type="http://schemas.openxmlformats.org/officeDocument/2006/relationships/hyperlink" Id="rId80"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62" Target="http://www.hindawi.com/journals/mi/2013/434010/" TargetMode="External" /><Relationship Type="http://schemas.openxmlformats.org/officeDocument/2006/relationships/hyperlink" Id="rId43" Target="https://andreasludvig.github.io/manuscript_one/notebooks/viability/Viability-preview.html#cell-fig-donor-viabilities" TargetMode="External" /><Relationship Type="http://schemas.openxmlformats.org/officeDocument/2006/relationships/hyperlink" Id="rId48" Target="https://andreasludvig.github.io/manuscript_one/notebooks/viability/Viability-preview.html#cell-fig-viability-absolute-overall" TargetMode="External" /><Relationship Type="http://schemas.openxmlformats.org/officeDocument/2006/relationships/hyperlink" Id="rId37" Target="https://andreasludvig.github.io/manuscript_one/notebooks/viability/Viability-preview.html#cell-fig-viability-relative-overall" TargetMode="External" /><Relationship Type="http://schemas.openxmlformats.org/officeDocument/2006/relationships/hyperlink" Id="rId86" Target="https://dmd.aspetjournals.org/content/48/7/594" TargetMode="External" /><Relationship Type="http://schemas.openxmlformats.org/officeDocument/2006/relationships/hyperlink" Id="rId72" Target="https://doi.org/10.1038/srep25187" TargetMode="External" /><Relationship Type="http://schemas.openxmlformats.org/officeDocument/2006/relationships/hyperlink" Id="rId74" Target="https://doi.org/10.1093/toxsci/kfx289" TargetMode="External" /><Relationship Type="http://schemas.openxmlformats.org/officeDocument/2006/relationships/hyperlink" Id="rId84" Target="https://doi.org/10.1124/dmd.117.078626" TargetMode="External" /><Relationship Type="http://schemas.openxmlformats.org/officeDocument/2006/relationships/hyperlink" Id="rId60" Target="https://doi.org/10.1186/1479-5876-9-113" TargetMode="External" /><Relationship Type="http://schemas.openxmlformats.org/officeDocument/2006/relationships/hyperlink" Id="rId66" Target="https://doi.org/10.1186/s13075-020-02344-3" TargetMode="External" /><Relationship Type="http://schemas.openxmlformats.org/officeDocument/2006/relationships/hyperlink" Id="rId58" Target="https://onlinelibrary.wiley.com/doi/abs/10.1002/cpt.2432" TargetMode="External" /><Relationship Type="http://schemas.openxmlformats.org/officeDocument/2006/relationships/hyperlink" Id="rId76" Target="https://onlinelibrary.wiley.com/doi/abs/10.1002/cpt.2887" TargetMode="External" /><Relationship Type="http://schemas.openxmlformats.org/officeDocument/2006/relationships/hyperlink" Id="rId64" Target="https://onlinelibrary.wiley.com/doi/abs/10.1002/jmv.26654" TargetMode="External" /><Relationship Type="http://schemas.openxmlformats.org/officeDocument/2006/relationships/hyperlink" Id="rId78" Target="https://onlinelibrary.wiley.com/doi/abs/10.1111/bcpt.13587" TargetMode="External" /><Relationship Type="http://schemas.openxmlformats.org/officeDocument/2006/relationships/hyperlink" Id="rId70" Target="https://www.cochranelibrary.com/cdsr/doi/10.1002/14651858.CD011811.pub2/full" TargetMode="External" /><Relationship Type="http://schemas.openxmlformats.org/officeDocument/2006/relationships/hyperlink" Id="rId68" Target="https://www.hindawi.com/journals/mi/2014/385297/" TargetMode="External" /><Relationship Type="http://schemas.openxmlformats.org/officeDocument/2006/relationships/hyperlink" Id="rId82" Target="https://www.sciencedirect.com/science/article/pii/S1046202309002461" TargetMode="External" /><Relationship Type="http://schemas.openxmlformats.org/officeDocument/2006/relationships/hyperlink" Id="rId80"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2024-01-26T11:18:00Z</dcterms:created>
  <dcterms:modified xsi:type="dcterms:W3CDTF">2024-01-26T11:18:00Z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