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pStyle w:val="Title"/>
      </w:pPr>
      <w:r>
        <w:t xml:space="preserve">Materialbewirtschaftung</w:t>
      </w:r>
    </w:p>
    <w:p>
      <w:pPr>
        <w:spacing w:after="200"/>
        <w:jc w:val="center"/>
      </w:pPr>
      <w:r>
        <w:rPr>
          <w:color w:val="2c5282"/>
          <w:sz w:val="36"/>
          <w:szCs w:val="36"/>
        </w:rPr>
        <w:t xml:space="preserve">Gerüstplanung Bundeshaus Bern</w:t>
      </w:r>
    </w:p>
    <w:p>
      <w:pPr>
        <w:spacing w:after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Objekt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Bundeshaus Bern (Parlamentsgebäude)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Adresse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Bundesplatz 3, 3003 Bern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Bauherr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Schweizerische Eidgenossenschaft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Gerüstbauer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Lawil Gerüstbau AG, Frauenkappelen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Gerüstsystem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Layher Blitz 70 Stahl | Klasse 3 | W09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Gebäudelänge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ca. 300 m (Gesamtkomplex)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Gerüsthöhe max.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26 m (Fassade) / 64 m (Kuppel-Spezialgerüst)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Gerüstfläche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ca. 8'500 m² (ohne Kuppelgerüst)</w:t>
            </w:r>
          </w:p>
        </w:tc>
      </w:tr>
    </w:tbl>
    <w:p>
      <w:pPr>
        <w:spacing w:before="600"/>
        <w:jc w:val="center"/>
      </w:pPr>
      <w:r>
        <w:rPr>
          <w:color w:val="666666"/>
          <w:sz w:val="24"/>
          <w:szCs w:val="24"/>
        </w:rPr>
        <w:t xml:space="preserve">Dezember 2025</w:t>
      </w:r>
    </w:p>
    <w:p>
      <w:r>
        <w:br w:type="page"/>
      </w:r>
    </w:p>
    <w:p>
      <w:pPr>
        <w:pStyle w:val="Heading1"/>
      </w:pPr>
      <w:r>
        <w:t xml:space="preserve">1. Projektbeschreibung</w:t>
      </w:r>
    </w:p>
    <w:p>
      <w:pPr>
        <w:spacing w:after="150"/>
      </w:pPr>
      <w:r>
        <w:t xml:space="preserve">Das Bundeshaus in Bern ist der Sitz der Schweizerischen Bundesversammlung und des Bundesrates. Der zwischen 1852 und 1902 erbaute Gebäudekomplex besteht aus drei Teilen: Bundeshaus West, dem zentralen Parlamentsgebäude mit der markanten Kuppel, und Bundeshaus Ost.</w:t>
      </w:r>
    </w:p>
    <w:p>
      <w:pPr>
        <w:spacing w:after="150"/>
      </w:pPr>
      <w:r>
        <w:t xml:space="preserve">Für eine umfassende Fassadensanierung wird ein Fassadengerüst mit dem System Layher Blitz 70 geplant. Die besondere Herausforderung liegt in den unterschiedlichen Gebäudehöhen und dem Denkmalschutz.</w:t>
      </w:r>
    </w:p>
    <w:p>
      <w:pPr>
        <w:pStyle w:val="Heading2"/>
      </w:pPr>
      <w:r>
        <w:t xml:space="preserve">1.1 Gebäudestruktur und Höhenzonen</w:t>
      </w:r>
    </w:p>
    <w:p>
      <w:pPr>
        <w:spacing w:after="150"/>
      </w:pPr>
      <w:r>
        <w:t xml:space="preserve">Das Bundeshaus weist verschiedene Höhenzonen auf, die bei der Gerüstplanung berücksichtigt werden müssen: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Gebäudeteil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Traufhöhe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Firsthöhe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Bundeshaus West / 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15–18 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20–22 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Parlamentsgebäude (Hauptfassaden)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22–25 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28–32 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Ecktürme (Südfassade)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35–38 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Hauptkuppel (mit Laterne)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62–64 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Ausmassberechnung nach NPK 114</w:t>
      </w:r>
    </w:p>
    <w:p>
      <w:pPr>
        <w:spacing w:after="150"/>
      </w:pPr>
      <w:r>
        <w:t xml:space="preserve">Die Ausmassberechnung erfolgt gemäss NPK 114 D/2012 "Arbeitsgerüste" mit folgenden Zuschlägen: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30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Wert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Beschreibung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Fassadenabstand LF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0.30 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Abstand Gerüst–Fassade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Gerüstgangbreite LG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0.70 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Für Breitenklasse W09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Stirnseitiger Abschluss 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1.00 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= LF + LG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Höhenzuschlag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1.00 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Über Arbeitshöhe</w:t>
            </w:r>
          </w:p>
        </w:tc>
      </w:tr>
    </w:tbl>
    <w:p>
      <w:pPr>
        <w:pStyle w:val="Heading2"/>
      </w:pPr>
      <w:r>
        <w:t xml:space="preserve">2.1 Zusammenfassung Ausmass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Position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Länge [m]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Fläche [m²]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Bundeshaus West (alle Fassaden)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ca. 180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ca. 2'100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Parlamentsgebäude (ohne Kuppel)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ca. 280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ca. 4'200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Bundeshaus Ost (alle Fassaden)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ca. 180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ca. 2'200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</w:tcPr>
          <w:p>
            <w:r>
              <w:rPr>
                <w:b/>
                <w:bCs/>
              </w:rPr>
              <w:t xml:space="preserve">TOTAL (ohne Kuppelgerüst)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</w:tcPr>
          <w:p>
            <w:r>
              <w:rPr>
                <w:b/>
                <w:bCs/>
              </w:rPr>
              <w:t xml:space="preserve">ca. 640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</w:tcPr>
          <w:p>
            <w:r>
              <w:rPr>
                <w:b/>
                <w:bCs/>
              </w:rPr>
              <w:t xml:space="preserve">ca. 8'500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Materialberechnung Layher Blitz 70</w:t>
      </w:r>
    </w:p>
    <w:p>
      <w:pPr>
        <w:spacing w:after="150"/>
      </w:pPr>
      <w:r>
        <w:t xml:space="preserve">Basierend auf Richtwerten von 18–22 kg/m² für das Layher Blitz 70 System ergibt sich folgende Materialschätzung: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Position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Menge (ca.)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Gewicht (ca.)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Stellrahmen 2.00 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2'800 Stk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51'800 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Doppelgeländer (diverse Längen)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3'500 Stk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28'000 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Robustböden (diverse Längen)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9'000 Stk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135'000 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Diagonalen, Fussplatten, Verankerung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diverse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ca. 25'000 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r>
              <w:rPr>
                <w:b/>
                <w:bCs/>
              </w:rPr>
              <w:t xml:space="preserve">TOTAL MATERIALGEWICHT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r>
              <w:rPr>
                <w:b/>
                <w:bCs/>
              </w:rPr>
              <w:t xml:space="preserve">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r>
              <w:rPr>
                <w:b/>
                <w:bCs/>
              </w:rPr>
              <w:t xml:space="preserve">ca. 170 Tonnen</w:t>
            </w:r>
          </w:p>
        </w:tc>
      </w:tr>
    </w:tbl>
    <w:p>
      <w:pPr>
        <w:pStyle w:val="Heading2"/>
      </w:pPr>
      <w:r>
        <w:t xml:space="preserve">3.1 Transport und Personal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Transportbedarf: </w:t>
      </w:r>
      <w:r>
        <w:t xml:space="preserve">ca. 12–14 × 3-Achser LKW (14t Nutzlast) mit HIAB-Kran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Montage: </w:t>
      </w:r>
      <w:r>
        <w:t xml:space="preserve">ca. 470 Mannstunden / ca. 14 Arbeitstage mit 4-Mann-Kolonne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Demontage: </w:t>
      </w:r>
      <w:r>
        <w:t xml:space="preserve">ca. 380 Mannstunden / ca. 11 Arbeitstage</w:t>
      </w:r>
    </w:p>
    <w:p>
      <w:r>
        <w:br w:type="page"/>
      </w:r>
    </w:p>
    <w:p>
      <w:pPr>
        <w:pStyle w:val="Heading1"/>
      </w:pPr>
      <w:r>
        <w:t xml:space="preserve">Anhang A: Grundriss Gerüst</w:t>
      </w:r>
    </w:p>
    <w:p>
      <w:pPr>
        <w:spacing w:before="200" w:after="200"/>
        <w:jc w:val="center"/>
      </w:pPr>
      <w:r>
        <w:drawing>
          <wp:inline distT="0" distB="0" distL="0" distR="0">
            <wp:extent cx="5524500" cy="4143375"/>
            <wp:effectExtent t="0" r="0" b="0" l="0"/>
            <wp:docPr id="1" name="Grundriss" descr="Grundriss Gerüst Bundeshaus Bern" title="Grundri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iCs/>
        </w:rPr>
        <w:t xml:space="preserve">Zeichnung: </w:t>
      </w:r>
      <w:r>
        <w:rPr>
          <w:i/>
          <w:iCs/>
        </w:rPr>
        <w:t xml:space="preserve">Grundriss mit Douglas-Peucker vereinfachter Gebäudegeometrie. Dargestellt sind Gerüstbeläge (blau), Ständerpositionen, Verankerungen (rot) und Zugänge (gelb).</w:t>
      </w:r>
    </w:p>
    <w:p>
      <w:r>
        <w:br w:type="page"/>
      </w:r>
    </w:p>
    <w:p>
      <w:pPr>
        <w:pStyle w:val="Heading1"/>
      </w:pPr>
      <w:r>
        <w:t xml:space="preserve">Anhang B: Ansicht Nord (Bundesplatz)</w:t>
      </w:r>
    </w:p>
    <w:p>
      <w:pPr>
        <w:spacing w:before="200" w:after="200"/>
        <w:jc w:val="center"/>
      </w:pPr>
      <w:r>
        <w:drawing>
          <wp:inline distT="0" distB="0" distL="0" distR="0">
            <wp:extent cx="5524500" cy="3686175"/>
            <wp:effectExtent t="0" r="0" b="0" l="0"/>
            <wp:docPr id="1" name="Ansicht" descr="Ansicht Nord Bundeshaus mit Kuppel" title="Ansic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iCs/>
        </w:rPr>
        <w:t xml:space="preserve">Zeichnung: </w:t>
      </w:r>
      <w:r>
        <w:rPr>
          <w:i/>
          <w:iCs/>
        </w:rPr>
        <w:t xml:space="preserve">Fassadenansicht vom Bundesplatz (Nord). Sichtbar sind die drei Gebäudeteile mit unterschiedlichen Höhen, der zentrale Portikus und die markante Kupferkuppel (64 m). Das Gerüst ist bis zur Traufhöhe dargestellt.</w:t>
      </w:r>
    </w:p>
    <w:p>
      <w:r>
        <w:br w:type="page"/>
      </w:r>
    </w:p>
    <w:p>
      <w:pPr>
        <w:pStyle w:val="Heading1"/>
      </w:pPr>
      <w:r>
        <w:t xml:space="preserve">Anhang C: Schnitt A-A (Querschnitt)</w:t>
      </w:r>
    </w:p>
    <w:p>
      <w:pPr>
        <w:spacing w:before="200" w:after="200"/>
        <w:jc w:val="center"/>
      </w:pPr>
      <w:r>
        <w:drawing>
          <wp:inline distT="0" distB="0" distL="0" distR="0">
            <wp:extent cx="4953000" cy="3962400"/>
            <wp:effectExtent t="0" r="0" b="0" l="0"/>
            <wp:docPr id="1" name="Schnitt" descr="Querschnitt durch Parlamentsgebäude" title="Schni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iCs/>
        </w:rPr>
        <w:t xml:space="preserve">Zeichnung: </w:t>
      </w:r>
      <w:r>
        <w:rPr>
          <w:i/>
          <w:iCs/>
        </w:rPr>
        <w:t xml:space="preserve">Querschnitt durch das Parlamentsgebäude (Nord-Süd). Dargestellt sind die Geschossebenen, der Tambour mit den 22 Fenstern (symbolisch für die Kantone), und die Kuppel mit Laterne. Das Fassadengerüst ist auf beiden Seiten mit allen Lagen gezeigt.</w:t>
      </w:r>
    </w:p>
    <w:p>
      <w:r>
        <w:br w:type="page"/>
      </w:r>
    </w:p>
    <w:p>
      <w:pPr>
        <w:pStyle w:val="Heading1"/>
      </w:pPr>
      <w:r>
        <w:t xml:space="preserve">Anhang D: Gerüstkarte</w:t>
      </w:r>
    </w:p>
    <w:p>
      <w:pPr>
        <w:spacing w:before="200" w:after="200"/>
        <w:jc w:val="center"/>
      </w:pPr>
      <w:r>
        <w:drawing>
          <wp:inline distT="0" distB="0" distL="0" distR="0">
            <wp:extent cx="3333750" cy="4724400"/>
            <wp:effectExtent t="0" r="0" b="0" l="0"/>
            <wp:docPr id="1" name="Gerüstkarte" descr="Gerüstkarte gemäss BauAV" title="Gerüstk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iCs/>
        </w:rPr>
        <w:t xml:space="preserve">Dokument: </w:t>
      </w:r>
      <w:r>
        <w:rPr>
          <w:i/>
          <w:iCs/>
        </w:rPr>
        <w:t xml:space="preserve">Gerüstkarte gemäss BauAV Art. 18 / SUVA Richtlinie. Diese Kennzeichnung muss während der gesamten Standzeit am Gerüst verbleiben und enthält alle sicherheitsrelevanten Angaben.</w:t>
      </w:r>
    </w:p>
    <w:p>
      <w:r>
        <w:br w:type="page"/>
      </w:r>
    </w:p>
    <w:p>
      <w:pPr>
        <w:pStyle w:val="Heading1"/>
      </w:pPr>
      <w:r>
        <w:t xml:space="preserve">4. Besondere Hinweise</w:t>
      </w:r>
    </w:p>
    <w:p>
      <w:pPr>
        <w:pStyle w:val="Heading2"/>
      </w:pPr>
      <w:r>
        <w:t xml:space="preserve">4.1 Denkmalschutz</w:t>
      </w:r>
    </w:p>
    <w:p>
      <w:pPr>
        <w:spacing w:after="150"/>
      </w:pPr>
      <w:r>
        <w:t xml:space="preserve">Das Bundeshaus ist ein denkmalgeschütztes Bauwerk von nationaler Bedeutung. Folgende Einschränkungen sind zu beachten: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Keine Bohranker </w:t>
      </w:r>
      <w:r>
        <w:t xml:space="preserve">in den historischen Berner Sandstein</w:t>
      </w:r>
    </w:p>
    <w:p>
      <w:pPr>
        <w:pStyle w:val="ListParagraph"/>
        <w:numPr>
          <w:ilvl w:val="0"/>
          <w:numId w:val="2"/>
        </w:numPr>
      </w:pPr>
      <w:r>
        <w:t xml:space="preserve">Verankerung nur an freigegebenen Punkten (Abstimmung mit Denkmalpflege)</w:t>
      </w:r>
    </w:p>
    <w:p>
      <w:pPr>
        <w:pStyle w:val="ListParagraph"/>
        <w:numPr>
          <w:ilvl w:val="0"/>
          <w:numId w:val="2"/>
        </w:numPr>
      </w:pPr>
      <w:r>
        <w:t xml:space="preserve">Schutzabdeckungen für empfindliche Steinoberflächen</w:t>
      </w:r>
    </w:p>
    <w:p>
      <w:pPr>
        <w:pStyle w:val="Heading2"/>
      </w:pPr>
      <w:r>
        <w:t xml:space="preserve">4.2 Kuppelgerüst</w:t>
      </w:r>
    </w:p>
    <w:p>
      <w:pPr>
        <w:spacing w:after="150"/>
      </w:pPr>
      <w:r>
        <w:t xml:space="preserve">Die Hauptkuppel (64 m) erfordert ein </w:t>
      </w:r>
      <w:r>
        <w:rPr>
          <w:b/>
          <w:bCs/>
        </w:rPr>
        <w:t xml:space="preserve">Spezialgerüst</w:t>
      </w:r>
      <w:r>
        <w:t xml:space="preserve">, das nicht im Standardausmass enthalten ist. Dieses muss separat geplant und freigegeben werden. Optionen:</w:t>
      </w:r>
    </w:p>
    <w:p>
      <w:pPr>
        <w:pStyle w:val="ListParagraph"/>
        <w:numPr>
          <w:ilvl w:val="0"/>
          <w:numId w:val="2"/>
        </w:numPr>
      </w:pPr>
      <w:r>
        <w:t xml:space="preserve">Hängegerüst von innen</w:t>
      </w:r>
    </w:p>
    <w:p>
      <w:pPr>
        <w:pStyle w:val="ListParagraph"/>
        <w:numPr>
          <w:ilvl w:val="0"/>
          <w:numId w:val="2"/>
        </w:numPr>
      </w:pPr>
      <w:r>
        <w:t xml:space="preserve">Konsolengerüst am Tambour</w:t>
      </w:r>
    </w:p>
    <w:p>
      <w:pPr>
        <w:pStyle w:val="ListParagraph"/>
        <w:numPr>
          <w:ilvl w:val="0"/>
          <w:numId w:val="2"/>
        </w:numPr>
      </w:pPr>
      <w:r>
        <w:t xml:space="preserve">Freistehendes Gerüst mit Sonderkonstruktion</w:t>
      </w:r>
    </w:p>
    <w:p>
      <w:pPr>
        <w:shd w:fill="F0F9FF" w:val="clear"/>
        <w:spacing w:before="400"/>
      </w:pPr>
      <w:r>
        <w:rPr>
          <w:b/>
          <w:bCs/>
        </w:rPr>
        <w:t xml:space="preserve">Hinweis: </w:t>
      </w:r>
      <w:r>
        <w:t xml:space="preserve">Die Geometriedaten in diesem Dokument wurden mittels Douglas-Peucker Algorithmus vereinfacht, um eine optimale Feldaufteilung des Gerüsts zu ermöglichen. Die tatsächlichen Masse sind vor Ort zu prüfen.</w:t>
      </w:r>
    </w:p>
    <w:p>
      <w:pPr>
        <w:spacing w:before="600"/>
        <w:jc w:val="center"/>
      </w:pPr>
      <w:r>
        <w:rPr>
          <w:i/>
          <w:iCs/>
          <w:color w:val="666666"/>
        </w:rPr>
        <w:t xml:space="preserve">— Ende des Dokuments —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von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| GL 2025 Polybau | Andreas Lion Roth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Bundeshaus Bern | Materialbewirtschaftung Gerüstbau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b/>
      <w:bCs/>
      <w:color w:val="1a365d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14b772a2d8856b6f326c4202035d6a8f4cd644f.png"/><Relationship Id="rId9" Type="http://schemas.openxmlformats.org/officeDocument/2006/relationships/image" Target="media/9d00f4add0655862c7c976b7aa254eb5926b4b21.png"/><Relationship Id="rId10" Type="http://schemas.openxmlformats.org/officeDocument/2006/relationships/image" Target="media/0243bbd8bf8a79e6e048e3bb41c9eaaedd7e2036.png"/><Relationship Id="rId11" Type="http://schemas.openxmlformats.org/officeDocument/2006/relationships/image" Target="media/293801fd2576778c94fc08c79c03e112f2728384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2025-12-24T10:33:53.885Z</dcterms:created>
  <dcterms:modified xsi:type="dcterms:W3CDTF">2025-12-24T10:33:53.886Z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