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DE355" w14:textId="2C084505" w:rsidR="00D038BA" w:rsidRPr="00F41D83" w:rsidRDefault="00915228" w:rsidP="00112697">
      <w:pPr>
        <w:pStyle w:val="Heading1"/>
        <w:spacing w:line="276" w:lineRule="auto"/>
        <w:jc w:val="center"/>
        <w:rPr>
          <w:rFonts w:asciiTheme="minorHAnsi" w:hAnsiTheme="minorHAnsi"/>
        </w:rPr>
      </w:pPr>
      <w:r w:rsidRPr="00F41D83">
        <w:rPr>
          <w:rFonts w:asciiTheme="minorHAnsi" w:hAnsiTheme="minorHAnsi"/>
        </w:rPr>
        <w:t xml:space="preserve">Analyzing </w:t>
      </w:r>
      <w:r w:rsidR="00C83A62" w:rsidRPr="00F41D83">
        <w:rPr>
          <w:rFonts w:asciiTheme="minorHAnsi" w:hAnsiTheme="minorHAnsi"/>
        </w:rPr>
        <w:t>Bitcoin Time Series Data</w:t>
      </w:r>
    </w:p>
    <w:p w14:paraId="544CA256" w14:textId="1AFCAF10" w:rsidR="0012233E" w:rsidRPr="00F41D83" w:rsidRDefault="0012233E" w:rsidP="00112697">
      <w:pPr>
        <w:spacing w:line="276" w:lineRule="auto"/>
      </w:pPr>
    </w:p>
    <w:p w14:paraId="3FC3A6CF" w14:textId="77777777" w:rsidR="00DD241E" w:rsidRPr="00F41D83" w:rsidRDefault="00DD241E" w:rsidP="00112697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 w:rsidRPr="00F41D83">
        <w:rPr>
          <w:b/>
          <w:bCs/>
          <w:sz w:val="28"/>
          <w:szCs w:val="28"/>
        </w:rPr>
        <w:t>Introduction</w:t>
      </w:r>
    </w:p>
    <w:p w14:paraId="6854B6E3" w14:textId="77777777" w:rsidR="00B25F6F" w:rsidRPr="00F41D83" w:rsidRDefault="00B25F6F" w:rsidP="00112697">
      <w:pPr>
        <w:shd w:val="clear" w:color="auto" w:fill="FFFFFF"/>
        <w:spacing w:before="60" w:after="60" w:line="276" w:lineRule="auto"/>
        <w:textAlignment w:val="baseline"/>
        <w:rPr>
          <w:rFonts w:cstheme="minorHAnsi"/>
          <w:b/>
          <w:bCs/>
        </w:rPr>
      </w:pPr>
    </w:p>
    <w:p w14:paraId="12746AD8" w14:textId="10F70859" w:rsidR="00256592" w:rsidRPr="00F41D83" w:rsidRDefault="008E6531" w:rsidP="00CE0139">
      <w:pPr>
        <w:shd w:val="clear" w:color="auto" w:fill="FFFFFF"/>
        <w:spacing w:before="60" w:after="60" w:line="276" w:lineRule="auto"/>
        <w:ind w:firstLine="360"/>
        <w:textAlignment w:val="baseline"/>
        <w:rPr>
          <w:rFonts w:cstheme="minorHAnsi"/>
        </w:rPr>
      </w:pPr>
      <w:r w:rsidRPr="00F41D83">
        <w:rPr>
          <w:rFonts w:cstheme="minorHAnsi"/>
        </w:rPr>
        <w:t xml:space="preserve">This semester has really brought my attention </w:t>
      </w:r>
      <w:r w:rsidR="00F3709A" w:rsidRPr="00F41D83">
        <w:rPr>
          <w:rFonts w:cstheme="minorHAnsi"/>
        </w:rPr>
        <w:t xml:space="preserve">to </w:t>
      </w:r>
      <w:r w:rsidR="00FA2CFC" w:rsidRPr="00F41D83">
        <w:rPr>
          <w:rFonts w:cstheme="minorHAnsi"/>
        </w:rPr>
        <w:t xml:space="preserve">the cryptocurrency market, especially as it relates </w:t>
      </w:r>
      <w:r w:rsidRPr="00F41D83">
        <w:rPr>
          <w:rFonts w:cstheme="minorHAnsi"/>
        </w:rPr>
        <w:t>to time series</w:t>
      </w:r>
      <w:r w:rsidR="00B5330B" w:rsidRPr="00F41D83">
        <w:rPr>
          <w:rFonts w:cstheme="minorHAnsi"/>
        </w:rPr>
        <w:t xml:space="preserve"> data</w:t>
      </w:r>
      <w:r w:rsidRPr="00F41D83">
        <w:rPr>
          <w:rFonts w:cstheme="minorHAnsi"/>
        </w:rPr>
        <w:t xml:space="preserve"> analysis</w:t>
      </w:r>
      <w:r w:rsidR="00761904" w:rsidRPr="00F41D83">
        <w:rPr>
          <w:rFonts w:cstheme="minorHAnsi"/>
        </w:rPr>
        <w:t xml:space="preserve">. </w:t>
      </w:r>
      <w:r w:rsidR="00945603" w:rsidRPr="00F41D83">
        <w:rPr>
          <w:rFonts w:cstheme="minorHAnsi"/>
        </w:rPr>
        <w:t>New</w:t>
      </w:r>
      <w:r w:rsidR="00CD44B3" w:rsidRPr="00F41D83">
        <w:rPr>
          <w:rFonts w:cstheme="minorHAnsi"/>
        </w:rPr>
        <w:t xml:space="preserve"> investor</w:t>
      </w:r>
      <w:r w:rsidR="00EB7367" w:rsidRPr="00F41D83">
        <w:rPr>
          <w:rFonts w:cstheme="minorHAnsi"/>
        </w:rPr>
        <w:t>s</w:t>
      </w:r>
      <w:r w:rsidR="00A71569" w:rsidRPr="00F41D83">
        <w:rPr>
          <w:rFonts w:cstheme="minorHAnsi"/>
        </w:rPr>
        <w:t>,</w:t>
      </w:r>
      <w:r w:rsidR="00FE78C6" w:rsidRPr="00F41D83">
        <w:rPr>
          <w:rFonts w:cstheme="minorHAnsi"/>
        </w:rPr>
        <w:t xml:space="preserve"> massive corporations,</w:t>
      </w:r>
      <w:r w:rsidR="000E57C0" w:rsidRPr="00F41D83">
        <w:rPr>
          <w:rFonts w:cstheme="minorHAnsi"/>
        </w:rPr>
        <w:t xml:space="preserve"> and </w:t>
      </w:r>
      <w:r w:rsidR="00FE78C6" w:rsidRPr="00F41D83">
        <w:rPr>
          <w:rFonts w:cstheme="minorHAnsi"/>
        </w:rPr>
        <w:t>even people</w:t>
      </w:r>
      <w:r w:rsidR="000E57C0" w:rsidRPr="00F41D83">
        <w:rPr>
          <w:rFonts w:cstheme="minorHAnsi"/>
        </w:rPr>
        <w:t xml:space="preserve"> </w:t>
      </w:r>
      <w:r w:rsidR="00B7432C" w:rsidRPr="00F41D83">
        <w:rPr>
          <w:rFonts w:cstheme="minorHAnsi"/>
        </w:rPr>
        <w:t>who</w:t>
      </w:r>
      <w:r w:rsidR="00D3212D" w:rsidRPr="00F41D83">
        <w:rPr>
          <w:rFonts w:cstheme="minorHAnsi"/>
        </w:rPr>
        <w:t xml:space="preserve"> </w:t>
      </w:r>
      <w:r w:rsidR="00A33FDD" w:rsidRPr="00F41D83">
        <w:rPr>
          <w:rFonts w:cstheme="minorHAnsi"/>
        </w:rPr>
        <w:t>merely</w:t>
      </w:r>
      <w:r w:rsidR="00195A6D" w:rsidRPr="00F41D83">
        <w:rPr>
          <w:rFonts w:cstheme="minorHAnsi"/>
        </w:rPr>
        <w:t xml:space="preserve"> </w:t>
      </w:r>
      <w:r w:rsidR="00B7432C" w:rsidRPr="00F41D83">
        <w:rPr>
          <w:rFonts w:cstheme="minorHAnsi"/>
        </w:rPr>
        <w:t>enjoy keeping up with</w:t>
      </w:r>
      <w:r w:rsidR="00CC5BD7" w:rsidRPr="00F41D83">
        <w:rPr>
          <w:rFonts w:cstheme="minorHAnsi"/>
        </w:rPr>
        <w:t xml:space="preserve"> the</w:t>
      </w:r>
      <w:r w:rsidR="00B7432C" w:rsidRPr="00F41D83">
        <w:rPr>
          <w:rFonts w:cstheme="minorHAnsi"/>
        </w:rPr>
        <w:t xml:space="preserve"> latest trends</w:t>
      </w:r>
      <w:r w:rsidR="00071ACB">
        <w:rPr>
          <w:rFonts w:cstheme="minorHAnsi"/>
        </w:rPr>
        <w:t>,</w:t>
      </w:r>
      <w:r w:rsidR="005A081B" w:rsidRPr="00F41D83">
        <w:rPr>
          <w:rFonts w:cstheme="minorHAnsi"/>
        </w:rPr>
        <w:t xml:space="preserve"> </w:t>
      </w:r>
      <w:r w:rsidR="0073604D" w:rsidRPr="00F41D83">
        <w:rPr>
          <w:rFonts w:cstheme="minorHAnsi"/>
        </w:rPr>
        <w:t xml:space="preserve">are investing </w:t>
      </w:r>
      <w:r w:rsidR="00BF69DF" w:rsidRPr="00F41D83">
        <w:rPr>
          <w:rFonts w:cstheme="minorHAnsi"/>
        </w:rPr>
        <w:t xml:space="preserve">their money in </w:t>
      </w:r>
      <w:r w:rsidR="00974D2A" w:rsidRPr="00F41D83">
        <w:rPr>
          <w:rFonts w:cstheme="minorHAnsi"/>
        </w:rPr>
        <w:t>various</w:t>
      </w:r>
      <w:r w:rsidR="00A4452B" w:rsidRPr="00F41D83">
        <w:rPr>
          <w:rFonts w:cstheme="minorHAnsi"/>
        </w:rPr>
        <w:t xml:space="preserve"> crypto currencies </w:t>
      </w:r>
      <w:r w:rsidR="00547ADB" w:rsidRPr="00F41D83">
        <w:rPr>
          <w:rFonts w:cstheme="minorHAnsi"/>
        </w:rPr>
        <w:t xml:space="preserve">via </w:t>
      </w:r>
      <w:r w:rsidR="004B3CDE" w:rsidRPr="00F41D83">
        <w:rPr>
          <w:rFonts w:cstheme="minorHAnsi"/>
        </w:rPr>
        <w:t xml:space="preserve">different </w:t>
      </w:r>
      <w:r w:rsidR="00547ADB" w:rsidRPr="00F41D83">
        <w:rPr>
          <w:rFonts w:cstheme="minorHAnsi"/>
        </w:rPr>
        <w:t>brokers</w:t>
      </w:r>
      <w:r w:rsidR="00A35E3F" w:rsidRPr="00F41D83">
        <w:rPr>
          <w:rFonts w:cstheme="minorHAnsi"/>
        </w:rPr>
        <w:t xml:space="preserve"> and exchanges</w:t>
      </w:r>
      <w:r w:rsidR="00C61251" w:rsidRPr="00F41D83">
        <w:rPr>
          <w:rFonts w:cstheme="minorHAnsi"/>
        </w:rPr>
        <w:t xml:space="preserve"> </w:t>
      </w:r>
      <w:r w:rsidR="00D22C6A" w:rsidRPr="00F41D83">
        <w:rPr>
          <w:rFonts w:cstheme="minorHAnsi"/>
        </w:rPr>
        <w:t>in</w:t>
      </w:r>
      <w:r w:rsidR="00C61251" w:rsidRPr="00F41D83">
        <w:rPr>
          <w:rFonts w:cstheme="minorHAnsi"/>
        </w:rPr>
        <w:t xml:space="preserve"> numerous </w:t>
      </w:r>
      <w:r w:rsidR="002573F7" w:rsidRPr="00F41D83">
        <w:rPr>
          <w:rFonts w:cstheme="minorHAnsi"/>
        </w:rPr>
        <w:t xml:space="preserve">crypto </w:t>
      </w:r>
      <w:r w:rsidR="00C61251" w:rsidRPr="00F41D83">
        <w:rPr>
          <w:rFonts w:cstheme="minorHAnsi"/>
        </w:rPr>
        <w:t>markets around the globe</w:t>
      </w:r>
      <w:r w:rsidR="00ED77A2" w:rsidRPr="00F41D83">
        <w:rPr>
          <w:rFonts w:cstheme="minorHAnsi"/>
        </w:rPr>
        <w:t xml:space="preserve">. Putting it simply, </w:t>
      </w:r>
      <w:r w:rsidR="008B2AB4" w:rsidRPr="00F41D83">
        <w:rPr>
          <w:rFonts w:cstheme="minorHAnsi"/>
        </w:rPr>
        <w:t xml:space="preserve">the crypto market has been </w:t>
      </w:r>
      <w:r w:rsidR="00F26947" w:rsidRPr="00F41D83">
        <w:rPr>
          <w:rFonts w:cstheme="minorHAnsi"/>
        </w:rPr>
        <w:t>on fire</w:t>
      </w:r>
      <w:r w:rsidR="00412D92" w:rsidRPr="00F41D83">
        <w:rPr>
          <w:rFonts w:cstheme="minorHAnsi"/>
        </w:rPr>
        <w:t xml:space="preserve"> and </w:t>
      </w:r>
      <w:r w:rsidR="00B05D17" w:rsidRPr="00F41D83">
        <w:rPr>
          <w:rFonts w:cstheme="minorHAnsi"/>
        </w:rPr>
        <w:t>something</w:t>
      </w:r>
      <w:r w:rsidR="00412D92" w:rsidRPr="00F41D83">
        <w:rPr>
          <w:rFonts w:cstheme="minorHAnsi"/>
        </w:rPr>
        <w:t xml:space="preserve"> everyone’s hear</w:t>
      </w:r>
      <w:r w:rsidR="00347795" w:rsidRPr="00F41D83">
        <w:rPr>
          <w:rFonts w:cstheme="minorHAnsi"/>
        </w:rPr>
        <w:t>d</w:t>
      </w:r>
      <w:r w:rsidR="00412D92" w:rsidRPr="00F41D83">
        <w:rPr>
          <w:rFonts w:cstheme="minorHAnsi"/>
        </w:rPr>
        <w:t xml:space="preserve"> about </w:t>
      </w:r>
      <w:r w:rsidR="005E247C" w:rsidRPr="00F41D83">
        <w:rPr>
          <w:rFonts w:cstheme="minorHAnsi"/>
        </w:rPr>
        <w:t>by</w:t>
      </w:r>
      <w:r w:rsidR="00412D92" w:rsidRPr="00F41D83">
        <w:rPr>
          <w:rFonts w:cstheme="minorHAnsi"/>
        </w:rPr>
        <w:t xml:space="preserve"> this point</w:t>
      </w:r>
      <w:r w:rsidR="000A53CA" w:rsidRPr="00F41D83">
        <w:rPr>
          <w:rFonts w:cstheme="minorHAnsi"/>
        </w:rPr>
        <w:t>.</w:t>
      </w:r>
      <w:r w:rsidR="00083F88" w:rsidRPr="00F41D83">
        <w:rPr>
          <w:rFonts w:cstheme="minorHAnsi"/>
        </w:rPr>
        <w:t xml:space="preserve"> </w:t>
      </w:r>
      <w:r w:rsidR="002507A7" w:rsidRPr="00F41D83">
        <w:rPr>
          <w:rFonts w:cstheme="minorHAnsi"/>
        </w:rPr>
        <w:t>In recent times</w:t>
      </w:r>
      <w:r w:rsidR="00FD7E44" w:rsidRPr="00F41D83">
        <w:rPr>
          <w:rFonts w:cstheme="minorHAnsi"/>
        </w:rPr>
        <w:t>,</w:t>
      </w:r>
      <w:r w:rsidR="00A679B9" w:rsidRPr="00F41D83">
        <w:rPr>
          <w:rFonts w:cstheme="minorHAnsi"/>
        </w:rPr>
        <w:t xml:space="preserve"> </w:t>
      </w:r>
      <w:r w:rsidR="00FD7E44" w:rsidRPr="00F41D83">
        <w:rPr>
          <w:rFonts w:cstheme="minorHAnsi"/>
        </w:rPr>
        <w:t>the al</w:t>
      </w:r>
      <w:r w:rsidR="00132205" w:rsidRPr="00F41D83">
        <w:rPr>
          <w:rFonts w:cstheme="minorHAnsi"/>
        </w:rPr>
        <w:t>t</w:t>
      </w:r>
      <w:r w:rsidR="00FD7E44" w:rsidRPr="00F41D83">
        <w:rPr>
          <w:rFonts w:cstheme="minorHAnsi"/>
        </w:rPr>
        <w:t>coin</w:t>
      </w:r>
      <w:r w:rsidR="00C4744B" w:rsidRPr="00F41D83">
        <w:rPr>
          <w:rStyle w:val="FootnoteReference"/>
          <w:rFonts w:cstheme="minorHAnsi"/>
        </w:rPr>
        <w:footnoteReference w:id="1"/>
      </w:r>
      <w:r w:rsidR="00FD7E44" w:rsidRPr="00F41D83">
        <w:rPr>
          <w:rFonts w:cstheme="minorHAnsi"/>
        </w:rPr>
        <w:t xml:space="preserve"> market</w:t>
      </w:r>
      <w:r w:rsidR="0091219D" w:rsidRPr="00F41D83">
        <w:rPr>
          <w:rFonts w:cstheme="minorHAnsi"/>
        </w:rPr>
        <w:t xml:space="preserve"> has been doing particularly </w:t>
      </w:r>
      <w:r w:rsidR="002519DE" w:rsidRPr="00F41D83">
        <w:rPr>
          <w:rFonts w:cstheme="minorHAnsi"/>
        </w:rPr>
        <w:t xml:space="preserve">well, but we’ll discuss </w:t>
      </w:r>
      <w:r w:rsidR="009E7DAE" w:rsidRPr="00F41D83">
        <w:rPr>
          <w:rFonts w:cstheme="minorHAnsi"/>
        </w:rPr>
        <w:t xml:space="preserve">more of that </w:t>
      </w:r>
      <w:r w:rsidR="00C77394" w:rsidRPr="00F41D83">
        <w:rPr>
          <w:rFonts w:cstheme="minorHAnsi"/>
        </w:rPr>
        <w:t xml:space="preserve">a bit </w:t>
      </w:r>
      <w:r w:rsidR="002519DE" w:rsidRPr="00F41D83">
        <w:rPr>
          <w:rFonts w:cstheme="minorHAnsi"/>
        </w:rPr>
        <w:t>later. For now, we must draw our attention to the crypto currency that started it al</w:t>
      </w:r>
      <w:r w:rsidR="00C01002" w:rsidRPr="00F41D83">
        <w:rPr>
          <w:rFonts w:cstheme="minorHAnsi"/>
        </w:rPr>
        <w:t>l</w:t>
      </w:r>
      <w:r w:rsidR="004222E1" w:rsidRPr="00F41D83">
        <w:rPr>
          <w:rFonts w:cstheme="minorHAnsi"/>
        </w:rPr>
        <w:t xml:space="preserve"> -</w:t>
      </w:r>
      <w:r w:rsidR="00C01002" w:rsidRPr="00F41D83">
        <w:rPr>
          <w:rFonts w:cstheme="minorHAnsi"/>
        </w:rPr>
        <w:t xml:space="preserve"> </w:t>
      </w:r>
      <w:r w:rsidR="002519DE" w:rsidRPr="00F0584F">
        <w:rPr>
          <w:rFonts w:cstheme="minorHAnsi"/>
          <w:b/>
          <w:bCs/>
        </w:rPr>
        <w:t>Bitcoin</w:t>
      </w:r>
      <w:r w:rsidR="002519DE" w:rsidRPr="00F41D83">
        <w:rPr>
          <w:rFonts w:cstheme="minorHAnsi"/>
        </w:rPr>
        <w:t xml:space="preserve"> </w:t>
      </w:r>
      <w:r w:rsidR="002519DE" w:rsidRPr="00F0584F">
        <w:rPr>
          <w:rFonts w:cstheme="minorHAnsi"/>
          <w:b/>
          <w:bCs/>
        </w:rPr>
        <w:t>(BTC)</w:t>
      </w:r>
      <w:r w:rsidR="00386821" w:rsidRPr="00F41D83">
        <w:rPr>
          <w:rFonts w:cstheme="minorHAnsi"/>
        </w:rPr>
        <w:t>.</w:t>
      </w:r>
    </w:p>
    <w:p w14:paraId="3282C848" w14:textId="77777777" w:rsidR="00256592" w:rsidRPr="00F41D83" w:rsidRDefault="00256592" w:rsidP="003D2B59">
      <w:pPr>
        <w:shd w:val="clear" w:color="auto" w:fill="FFFFFF"/>
        <w:spacing w:before="60" w:after="60" w:line="276" w:lineRule="auto"/>
        <w:textAlignment w:val="baseline"/>
        <w:rPr>
          <w:rFonts w:cstheme="minorHAnsi"/>
        </w:rPr>
      </w:pPr>
    </w:p>
    <w:p w14:paraId="485FC348" w14:textId="47EA5FAA" w:rsidR="000B27F8" w:rsidRPr="00F41D83" w:rsidRDefault="002F2685" w:rsidP="008C0EE4">
      <w:pPr>
        <w:shd w:val="clear" w:color="auto" w:fill="FFFFFF"/>
        <w:spacing w:before="60" w:after="60" w:line="276" w:lineRule="auto"/>
        <w:ind w:firstLine="360"/>
        <w:textAlignment w:val="baseline"/>
        <w:rPr>
          <w:rFonts w:cstheme="minorHAnsi"/>
        </w:rPr>
      </w:pPr>
      <w:r w:rsidRPr="00F41D83">
        <w:rPr>
          <w:rFonts w:cstheme="minorHAnsi"/>
        </w:rPr>
        <w:t xml:space="preserve">The </w:t>
      </w:r>
      <w:r w:rsidR="00815ED1" w:rsidRPr="00F41D83">
        <w:rPr>
          <w:rFonts w:cstheme="minorHAnsi"/>
        </w:rPr>
        <w:t>BTC</w:t>
      </w:r>
      <w:r w:rsidRPr="00F41D83">
        <w:rPr>
          <w:rFonts w:cstheme="minorHAnsi"/>
        </w:rPr>
        <w:t xml:space="preserve"> blockchain network</w:t>
      </w:r>
      <w:r w:rsidR="00882730" w:rsidRPr="00F41D83">
        <w:rPr>
          <w:rFonts w:cstheme="minorHAnsi"/>
        </w:rPr>
        <w:t xml:space="preserve"> </w:t>
      </w:r>
      <w:r w:rsidR="002C0AE5" w:rsidRPr="00F41D83">
        <w:rPr>
          <w:rFonts w:cstheme="minorHAnsi"/>
        </w:rPr>
        <w:t xml:space="preserve">was </w:t>
      </w:r>
      <w:r w:rsidR="003259A8" w:rsidRPr="00F41D83">
        <w:rPr>
          <w:rFonts w:cstheme="minorHAnsi"/>
        </w:rPr>
        <w:t xml:space="preserve">created on January </w:t>
      </w:r>
      <w:r w:rsidR="00D65469" w:rsidRPr="00F41D83">
        <w:rPr>
          <w:rFonts w:cstheme="minorHAnsi"/>
        </w:rPr>
        <w:t xml:space="preserve">3, </w:t>
      </w:r>
      <w:proofErr w:type="gramStart"/>
      <w:r w:rsidR="00D65469" w:rsidRPr="00F41D83">
        <w:rPr>
          <w:rFonts w:cstheme="minorHAnsi"/>
        </w:rPr>
        <w:t>2009</w:t>
      </w:r>
      <w:proofErr w:type="gramEnd"/>
      <w:r w:rsidR="00763964" w:rsidRPr="00F41D83">
        <w:rPr>
          <w:rFonts w:cstheme="minorHAnsi"/>
        </w:rPr>
        <w:t xml:space="preserve"> by Satoshi Nakamoto</w:t>
      </w:r>
      <w:r w:rsidR="00A03762" w:rsidRPr="00F41D83">
        <w:rPr>
          <w:rStyle w:val="FootnoteReference"/>
          <w:rFonts w:cstheme="minorHAnsi"/>
        </w:rPr>
        <w:footnoteReference w:id="2"/>
      </w:r>
      <w:r w:rsidR="00C12A7A" w:rsidRPr="00F41D83">
        <w:rPr>
          <w:rFonts w:cstheme="minorHAnsi"/>
        </w:rPr>
        <w:t xml:space="preserve"> as the first</w:t>
      </w:r>
      <w:r w:rsidR="00F95E59" w:rsidRPr="00F41D83">
        <w:rPr>
          <w:rFonts w:cstheme="minorHAnsi"/>
        </w:rPr>
        <w:t xml:space="preserve"> c</w:t>
      </w:r>
      <w:r w:rsidR="00D62A17" w:rsidRPr="00F41D83">
        <w:rPr>
          <w:rFonts w:cstheme="minorHAnsi"/>
        </w:rPr>
        <w:t>r</w:t>
      </w:r>
      <w:r w:rsidR="00F95E59" w:rsidRPr="00F41D83">
        <w:rPr>
          <w:rFonts w:cstheme="minorHAnsi"/>
        </w:rPr>
        <w:t>ypto currency</w:t>
      </w:r>
      <w:r w:rsidR="005F1246" w:rsidRPr="00F41D83">
        <w:rPr>
          <w:rFonts w:cstheme="minorHAnsi"/>
        </w:rPr>
        <w:t xml:space="preserve"> on a blockchain network</w:t>
      </w:r>
      <w:r w:rsidR="00231A41" w:rsidRPr="00F41D83">
        <w:rPr>
          <w:rFonts w:cstheme="minorHAnsi"/>
        </w:rPr>
        <w:t xml:space="preserve">. </w:t>
      </w:r>
      <w:r w:rsidR="00F754AE" w:rsidRPr="00F41D83">
        <w:rPr>
          <w:rFonts w:cstheme="minorHAnsi"/>
        </w:rPr>
        <w:t>Essentially, a blockchain network</w:t>
      </w:r>
      <w:r w:rsidR="0001196D" w:rsidRPr="00F41D83">
        <w:rPr>
          <w:rFonts w:cstheme="minorHAnsi"/>
        </w:rPr>
        <w:t xml:space="preserve"> i</w:t>
      </w:r>
      <w:r w:rsidR="007C0458" w:rsidRPr="00F41D83">
        <w:rPr>
          <w:rFonts w:cstheme="minorHAnsi"/>
        </w:rPr>
        <w:t xml:space="preserve">s a database </w:t>
      </w:r>
      <w:r w:rsidR="005F4214" w:rsidRPr="00F41D83">
        <w:rPr>
          <w:rFonts w:cstheme="minorHAnsi"/>
        </w:rPr>
        <w:t>where</w:t>
      </w:r>
      <w:r w:rsidR="00405955" w:rsidRPr="00F41D83">
        <w:rPr>
          <w:rFonts w:cstheme="minorHAnsi"/>
        </w:rPr>
        <w:t xml:space="preserve"> data is stored</w:t>
      </w:r>
      <w:r w:rsidR="00A17F75" w:rsidRPr="00F41D83">
        <w:rPr>
          <w:rFonts w:cstheme="minorHAnsi"/>
        </w:rPr>
        <w:t xml:space="preserve"> in block</w:t>
      </w:r>
      <w:r w:rsidR="00B64A83" w:rsidRPr="00F41D83">
        <w:rPr>
          <w:rFonts w:cstheme="minorHAnsi"/>
        </w:rPr>
        <w:t xml:space="preserve">s </w:t>
      </w:r>
      <w:r w:rsidR="00A17F75" w:rsidRPr="00F41D83">
        <w:rPr>
          <w:rFonts w:cstheme="minorHAnsi"/>
        </w:rPr>
        <w:t>and chained together</w:t>
      </w:r>
      <w:r w:rsidR="006F7C51" w:rsidRPr="00F41D83">
        <w:rPr>
          <w:rFonts w:cstheme="minorHAnsi"/>
        </w:rPr>
        <w:t xml:space="preserve">. New </w:t>
      </w:r>
      <w:r w:rsidR="00EC2A4E" w:rsidRPr="00F41D83">
        <w:rPr>
          <w:rFonts w:cstheme="minorHAnsi"/>
        </w:rPr>
        <w:t xml:space="preserve">data is entered </w:t>
      </w:r>
      <w:r w:rsidR="0014042B" w:rsidRPr="00F41D83">
        <w:rPr>
          <w:rFonts w:cstheme="minorHAnsi"/>
        </w:rPr>
        <w:t>as</w:t>
      </w:r>
      <w:r w:rsidR="00EC2A4E" w:rsidRPr="00F41D83">
        <w:rPr>
          <w:rFonts w:cstheme="minorHAnsi"/>
        </w:rPr>
        <w:t xml:space="preserve"> its own new </w:t>
      </w:r>
      <w:r w:rsidR="00103243" w:rsidRPr="00F41D83">
        <w:rPr>
          <w:rFonts w:cstheme="minorHAnsi"/>
        </w:rPr>
        <w:t>“</w:t>
      </w:r>
      <w:r w:rsidR="00EC2A4E" w:rsidRPr="00F41D83">
        <w:rPr>
          <w:rFonts w:cstheme="minorHAnsi"/>
        </w:rPr>
        <w:t>block</w:t>
      </w:r>
      <w:r w:rsidR="00103243" w:rsidRPr="00F41D83">
        <w:rPr>
          <w:rFonts w:cstheme="minorHAnsi"/>
        </w:rPr>
        <w:t>”</w:t>
      </w:r>
      <w:r w:rsidR="007F753B" w:rsidRPr="00F41D83">
        <w:rPr>
          <w:rFonts w:cstheme="minorHAnsi"/>
        </w:rPr>
        <w:t xml:space="preserve"> </w:t>
      </w:r>
      <w:r w:rsidR="00EC2A4E" w:rsidRPr="00F41D83">
        <w:rPr>
          <w:rFonts w:cstheme="minorHAnsi"/>
        </w:rPr>
        <w:t>and</w:t>
      </w:r>
      <w:r w:rsidR="00CD5D62" w:rsidRPr="00F41D83">
        <w:rPr>
          <w:rFonts w:cstheme="minorHAnsi"/>
        </w:rPr>
        <w:t xml:space="preserve"> is</w:t>
      </w:r>
      <w:r w:rsidR="00EC2A4E" w:rsidRPr="00F41D83">
        <w:rPr>
          <w:rFonts w:cstheme="minorHAnsi"/>
        </w:rPr>
        <w:t xml:space="preserve"> </w:t>
      </w:r>
      <w:r w:rsidR="007F753B" w:rsidRPr="00F41D83">
        <w:rPr>
          <w:rFonts w:cstheme="minorHAnsi"/>
        </w:rPr>
        <w:t>paired</w:t>
      </w:r>
      <w:r w:rsidR="00927A54" w:rsidRPr="00F41D83">
        <w:rPr>
          <w:rFonts w:cstheme="minorHAnsi"/>
        </w:rPr>
        <w:t>, or “chained”</w:t>
      </w:r>
      <w:r w:rsidR="007F753B" w:rsidRPr="00F41D83">
        <w:rPr>
          <w:rFonts w:cstheme="minorHAnsi"/>
        </w:rPr>
        <w:t xml:space="preserve"> together</w:t>
      </w:r>
      <w:r w:rsidR="00A1674B" w:rsidRPr="00F41D83">
        <w:rPr>
          <w:rFonts w:cstheme="minorHAnsi"/>
        </w:rPr>
        <w:t xml:space="preserve"> with </w:t>
      </w:r>
      <w:r w:rsidR="0087423B" w:rsidRPr="00F41D83">
        <w:rPr>
          <w:rFonts w:cstheme="minorHAnsi"/>
        </w:rPr>
        <w:t>another block</w:t>
      </w:r>
      <w:r w:rsidR="000415DD" w:rsidRPr="00F41D83">
        <w:rPr>
          <w:rFonts w:cstheme="minorHAnsi"/>
        </w:rPr>
        <w:t xml:space="preserve"> in chronological order.</w:t>
      </w:r>
      <w:r w:rsidR="001C2134" w:rsidRPr="00F41D83">
        <w:rPr>
          <w:rFonts w:cstheme="minorHAnsi"/>
        </w:rPr>
        <w:t xml:space="preserve"> Various types of information can be stored on a blockchain but </w:t>
      </w:r>
      <w:r w:rsidR="00E86DB6" w:rsidRPr="00F41D83">
        <w:rPr>
          <w:rFonts w:cstheme="minorHAnsi"/>
        </w:rPr>
        <w:t>its</w:t>
      </w:r>
      <w:r w:rsidR="001C2134" w:rsidRPr="00F41D83">
        <w:rPr>
          <w:rFonts w:cstheme="minorHAnsi"/>
        </w:rPr>
        <w:t xml:space="preserve"> most common use </w:t>
      </w:r>
      <w:r w:rsidR="00A602A2" w:rsidRPr="00F41D83">
        <w:rPr>
          <w:rFonts w:cstheme="minorHAnsi"/>
        </w:rPr>
        <w:t>thus</w:t>
      </w:r>
      <w:r w:rsidR="001C2134" w:rsidRPr="00F41D83">
        <w:rPr>
          <w:rFonts w:cstheme="minorHAnsi"/>
        </w:rPr>
        <w:t xml:space="preserve"> far</w:t>
      </w:r>
      <w:r w:rsidR="00D3323D" w:rsidRPr="00F41D83">
        <w:rPr>
          <w:rFonts w:cstheme="minorHAnsi"/>
        </w:rPr>
        <w:t xml:space="preserve"> is </w:t>
      </w:r>
      <w:r w:rsidR="00A11558" w:rsidRPr="00F41D83">
        <w:rPr>
          <w:rFonts w:cstheme="minorHAnsi"/>
        </w:rPr>
        <w:t>acting as</w:t>
      </w:r>
      <w:r w:rsidR="00D3323D" w:rsidRPr="00F41D83">
        <w:rPr>
          <w:rFonts w:cstheme="minorHAnsi"/>
        </w:rPr>
        <w:t xml:space="preserve"> </w:t>
      </w:r>
      <w:r w:rsidR="001C2134" w:rsidRPr="00F41D83">
        <w:rPr>
          <w:rFonts w:cstheme="minorHAnsi"/>
        </w:rPr>
        <w:t>a ledger for transactions.</w:t>
      </w:r>
      <w:r w:rsidR="00150B58" w:rsidRPr="00F41D83">
        <w:rPr>
          <w:rFonts w:cstheme="minorHAnsi"/>
        </w:rPr>
        <w:t xml:space="preserve"> For BTC, blockchain technology is being used </w:t>
      </w:r>
      <w:r w:rsidR="001D3B2A" w:rsidRPr="00F41D83">
        <w:rPr>
          <w:rFonts w:cstheme="minorHAnsi"/>
        </w:rPr>
        <w:t>in a decentralized way</w:t>
      </w:r>
      <w:r w:rsidR="00A9431F" w:rsidRPr="00F41D83">
        <w:rPr>
          <w:rFonts w:cstheme="minorHAnsi"/>
        </w:rPr>
        <w:t xml:space="preserve">; </w:t>
      </w:r>
      <w:r w:rsidR="00F67ADB" w:rsidRPr="00F41D83">
        <w:rPr>
          <w:rFonts w:cstheme="minorHAnsi"/>
        </w:rPr>
        <w:t>t</w:t>
      </w:r>
      <w:r w:rsidR="001D3B2A" w:rsidRPr="00F41D83">
        <w:rPr>
          <w:rFonts w:cstheme="minorHAnsi"/>
        </w:rPr>
        <w:t>hat is, no single entity</w:t>
      </w:r>
      <w:r w:rsidR="00A4037D" w:rsidRPr="00F41D83">
        <w:rPr>
          <w:rFonts w:cstheme="minorHAnsi"/>
        </w:rPr>
        <w:t xml:space="preserve"> </w:t>
      </w:r>
      <w:r w:rsidR="001D3B2A" w:rsidRPr="00F41D83">
        <w:rPr>
          <w:rFonts w:cstheme="minorHAnsi"/>
        </w:rPr>
        <w:t>or group</w:t>
      </w:r>
      <w:r w:rsidR="00A4037D" w:rsidRPr="00F41D83">
        <w:rPr>
          <w:rFonts w:cstheme="minorHAnsi"/>
        </w:rPr>
        <w:t xml:space="preserve"> </w:t>
      </w:r>
      <w:r w:rsidR="001D3B2A" w:rsidRPr="00F41D83">
        <w:rPr>
          <w:rFonts w:cstheme="minorHAnsi"/>
        </w:rPr>
        <w:t xml:space="preserve">has </w:t>
      </w:r>
      <w:r w:rsidR="00255DBD" w:rsidRPr="00F41D83">
        <w:rPr>
          <w:rFonts w:cstheme="minorHAnsi"/>
        </w:rPr>
        <w:t xml:space="preserve">total </w:t>
      </w:r>
      <w:r w:rsidR="00390875" w:rsidRPr="00F41D83">
        <w:rPr>
          <w:rFonts w:cstheme="minorHAnsi"/>
        </w:rPr>
        <w:t>control,</w:t>
      </w:r>
      <w:r w:rsidR="00AA70CE" w:rsidRPr="00F41D83">
        <w:rPr>
          <w:rFonts w:cstheme="minorHAnsi"/>
        </w:rPr>
        <w:t xml:space="preserve"> </w:t>
      </w:r>
      <w:r w:rsidR="00106C70" w:rsidRPr="00F41D83">
        <w:rPr>
          <w:rFonts w:cstheme="minorHAnsi"/>
        </w:rPr>
        <w:t>rather</w:t>
      </w:r>
      <w:r w:rsidR="00AA70CE" w:rsidRPr="00F41D83">
        <w:rPr>
          <w:rFonts w:cstheme="minorHAnsi"/>
        </w:rPr>
        <w:t xml:space="preserve"> </w:t>
      </w:r>
      <w:r w:rsidR="009D42CF" w:rsidRPr="00F41D83">
        <w:rPr>
          <w:rFonts w:cstheme="minorHAnsi"/>
        </w:rPr>
        <w:t xml:space="preserve">all users retain control </w:t>
      </w:r>
      <w:r w:rsidR="00D82999" w:rsidRPr="00F41D83">
        <w:rPr>
          <w:rFonts w:cstheme="minorHAnsi"/>
        </w:rPr>
        <w:t>collectively.</w:t>
      </w:r>
      <w:r w:rsidR="008C0EE4" w:rsidRPr="00F41D83">
        <w:rPr>
          <w:rFonts w:cstheme="minorHAnsi"/>
        </w:rPr>
        <w:t xml:space="preserve"> </w:t>
      </w:r>
      <w:r w:rsidR="00B708DE" w:rsidRPr="00F41D83">
        <w:rPr>
          <w:rFonts w:cstheme="minorHAnsi"/>
        </w:rPr>
        <w:t>Bitcoin was the first player in the game</w:t>
      </w:r>
      <w:r w:rsidR="00584BD0" w:rsidRPr="00F41D83">
        <w:rPr>
          <w:rFonts w:cstheme="minorHAnsi"/>
        </w:rPr>
        <w:t xml:space="preserve"> to effectively use </w:t>
      </w:r>
      <w:r w:rsidR="009B4877" w:rsidRPr="00F41D83">
        <w:rPr>
          <w:rFonts w:cstheme="minorHAnsi"/>
        </w:rPr>
        <w:t>b</w:t>
      </w:r>
      <w:r w:rsidR="00584BD0" w:rsidRPr="00F41D83">
        <w:rPr>
          <w:rFonts w:cstheme="minorHAnsi"/>
        </w:rPr>
        <w:t xml:space="preserve">lockchain technology in </w:t>
      </w:r>
      <w:r w:rsidR="001349DB" w:rsidRPr="00F41D83">
        <w:rPr>
          <w:rFonts w:cstheme="minorHAnsi"/>
        </w:rPr>
        <w:t>a</w:t>
      </w:r>
      <w:r w:rsidR="00374D51" w:rsidRPr="00F41D83">
        <w:rPr>
          <w:rFonts w:cstheme="minorHAnsi"/>
        </w:rPr>
        <w:t xml:space="preserve"> </w:t>
      </w:r>
      <w:r w:rsidR="004675E1" w:rsidRPr="00F41D83">
        <w:rPr>
          <w:rFonts w:cstheme="minorHAnsi"/>
        </w:rPr>
        <w:t>unique</w:t>
      </w:r>
      <w:r w:rsidR="00584BD0" w:rsidRPr="00F41D83">
        <w:rPr>
          <w:rFonts w:cstheme="minorHAnsi"/>
        </w:rPr>
        <w:t xml:space="preserve"> way</w:t>
      </w:r>
      <w:r w:rsidR="00EA297F">
        <w:rPr>
          <w:rFonts w:cstheme="minorHAnsi"/>
        </w:rPr>
        <w:t xml:space="preserve">, and </w:t>
      </w:r>
      <w:r w:rsidR="00D1506B">
        <w:rPr>
          <w:rFonts w:cstheme="minorHAnsi"/>
        </w:rPr>
        <w:t>it</w:t>
      </w:r>
      <w:r w:rsidR="00BE1D6B">
        <w:rPr>
          <w:rFonts w:cstheme="minorHAnsi"/>
        </w:rPr>
        <w:t>’</w:t>
      </w:r>
      <w:r w:rsidR="00FF610B" w:rsidRPr="00F41D83">
        <w:rPr>
          <w:rFonts w:cstheme="minorHAnsi"/>
        </w:rPr>
        <w:t>s</w:t>
      </w:r>
      <w:r w:rsidR="008437A7" w:rsidRPr="00F41D83">
        <w:rPr>
          <w:rFonts w:cstheme="minorHAnsi"/>
        </w:rPr>
        <w:t xml:space="preserve"> allowed for more secure transactions</w:t>
      </w:r>
      <w:r w:rsidR="00243C6C" w:rsidRPr="00F41D83">
        <w:rPr>
          <w:rFonts w:cstheme="minorHAnsi"/>
        </w:rPr>
        <w:t xml:space="preserve">, </w:t>
      </w:r>
      <w:r w:rsidR="002017B8" w:rsidRPr="00F41D83">
        <w:rPr>
          <w:rFonts w:cstheme="minorHAnsi"/>
        </w:rPr>
        <w:t>is on almost every single exchange (if not every)</w:t>
      </w:r>
      <w:r w:rsidR="00853566">
        <w:rPr>
          <w:rFonts w:cstheme="minorHAnsi"/>
        </w:rPr>
        <w:t>,</w:t>
      </w:r>
      <w:r w:rsidR="000B3849" w:rsidRPr="00F41D83">
        <w:rPr>
          <w:rFonts w:cstheme="minorHAnsi"/>
        </w:rPr>
        <w:t xml:space="preserve"> </w:t>
      </w:r>
      <w:r w:rsidR="00E87E6A" w:rsidRPr="00F41D83">
        <w:rPr>
          <w:rFonts w:cstheme="minorHAnsi"/>
        </w:rPr>
        <w:t>and has</w:t>
      </w:r>
      <w:r w:rsidR="0060077B" w:rsidRPr="00F41D83">
        <w:rPr>
          <w:rFonts w:cstheme="minorHAnsi"/>
        </w:rPr>
        <w:t xml:space="preserve"> </w:t>
      </w:r>
      <w:r w:rsidR="00B622E6" w:rsidRPr="00F41D83">
        <w:rPr>
          <w:rFonts w:cstheme="minorHAnsi"/>
        </w:rPr>
        <w:t xml:space="preserve">revolutionized the </w:t>
      </w:r>
      <w:r w:rsidR="004337DD" w:rsidRPr="00F41D83">
        <w:rPr>
          <w:rFonts w:cstheme="minorHAnsi"/>
        </w:rPr>
        <w:t xml:space="preserve">crypto </w:t>
      </w:r>
      <w:r w:rsidR="00B622E6" w:rsidRPr="00F41D83">
        <w:rPr>
          <w:rFonts w:cstheme="minorHAnsi"/>
        </w:rPr>
        <w:t>industry</w:t>
      </w:r>
      <w:r w:rsidR="00BF45C8" w:rsidRPr="00F41D83">
        <w:rPr>
          <w:rFonts w:cstheme="minorHAnsi"/>
        </w:rPr>
        <w:t xml:space="preserve"> in </w:t>
      </w:r>
      <w:r w:rsidR="000A5BBB" w:rsidRPr="00F41D83">
        <w:rPr>
          <w:rFonts w:cstheme="minorHAnsi"/>
        </w:rPr>
        <w:t xml:space="preserve">multiple, </w:t>
      </w:r>
      <w:r w:rsidR="00BF45C8" w:rsidRPr="00F41D83">
        <w:rPr>
          <w:rFonts w:cstheme="minorHAnsi"/>
        </w:rPr>
        <w:t>unforeseen ways.</w:t>
      </w:r>
    </w:p>
    <w:p w14:paraId="294678D3" w14:textId="77777777" w:rsidR="00595DA6" w:rsidRPr="00F41D83" w:rsidRDefault="00595DA6" w:rsidP="00941485">
      <w:pPr>
        <w:shd w:val="clear" w:color="auto" w:fill="FFFFFF"/>
        <w:spacing w:before="60" w:after="60" w:line="276" w:lineRule="auto"/>
        <w:textAlignment w:val="baseline"/>
        <w:rPr>
          <w:rFonts w:cstheme="minorHAnsi"/>
        </w:rPr>
      </w:pPr>
    </w:p>
    <w:p w14:paraId="18DBED6B" w14:textId="4F28F1F9" w:rsidR="00B708DE" w:rsidRPr="00F41D83" w:rsidRDefault="000B3849" w:rsidP="008C0EE4">
      <w:pPr>
        <w:shd w:val="clear" w:color="auto" w:fill="FFFFFF"/>
        <w:spacing w:before="60" w:after="60" w:line="276" w:lineRule="auto"/>
        <w:ind w:firstLine="360"/>
        <w:textAlignment w:val="baseline"/>
        <w:rPr>
          <w:rFonts w:cstheme="minorHAnsi"/>
        </w:rPr>
      </w:pPr>
      <w:r w:rsidRPr="00F41D83">
        <w:rPr>
          <w:rFonts w:cstheme="minorHAnsi"/>
        </w:rPr>
        <w:t xml:space="preserve">This analysis </w:t>
      </w:r>
      <w:r w:rsidR="004B6363" w:rsidRPr="00F41D83">
        <w:rPr>
          <w:rFonts w:cstheme="minorHAnsi"/>
        </w:rPr>
        <w:t xml:space="preserve">focuses </w:t>
      </w:r>
      <w:r w:rsidR="002D4DE4" w:rsidRPr="00F41D83">
        <w:rPr>
          <w:rFonts w:cstheme="minorHAnsi"/>
        </w:rPr>
        <w:t xml:space="preserve">on </w:t>
      </w:r>
      <w:r w:rsidR="00704A36" w:rsidRPr="00F41D83">
        <w:rPr>
          <w:rFonts w:cstheme="minorHAnsi"/>
        </w:rPr>
        <w:t xml:space="preserve">time series data associated with </w:t>
      </w:r>
      <w:r w:rsidR="00BF6B55" w:rsidRPr="00F41D83">
        <w:rPr>
          <w:rFonts w:cstheme="minorHAnsi"/>
        </w:rPr>
        <w:t xml:space="preserve">monthly </w:t>
      </w:r>
      <w:r w:rsidR="004D2DEC" w:rsidRPr="00F41D83">
        <w:rPr>
          <w:rFonts w:cstheme="minorHAnsi"/>
        </w:rPr>
        <w:t>Bitcoin prices</w:t>
      </w:r>
      <w:r w:rsidR="00001F2E">
        <w:rPr>
          <w:rFonts w:cstheme="minorHAnsi"/>
        </w:rPr>
        <w:t xml:space="preserve"> per share</w:t>
      </w:r>
      <w:r w:rsidR="00261AB2" w:rsidRPr="00F41D83">
        <w:rPr>
          <w:rFonts w:cstheme="minorHAnsi"/>
        </w:rPr>
        <w:t xml:space="preserve"> from </w:t>
      </w:r>
      <w:r w:rsidR="00714DB6" w:rsidRPr="00F41D83">
        <w:rPr>
          <w:rFonts w:cstheme="minorHAnsi"/>
        </w:rPr>
        <w:t>October 1,</w:t>
      </w:r>
      <w:r w:rsidR="004B3D14" w:rsidRPr="00F41D83">
        <w:rPr>
          <w:rFonts w:cstheme="minorHAnsi"/>
        </w:rPr>
        <w:t xml:space="preserve"> </w:t>
      </w:r>
      <w:proofErr w:type="gramStart"/>
      <w:r w:rsidR="004A70A0" w:rsidRPr="00F41D83">
        <w:rPr>
          <w:rFonts w:cstheme="minorHAnsi"/>
        </w:rPr>
        <w:t>201</w:t>
      </w:r>
      <w:r w:rsidR="00F005F9" w:rsidRPr="00F41D83">
        <w:rPr>
          <w:rFonts w:cstheme="minorHAnsi"/>
        </w:rPr>
        <w:t>4</w:t>
      </w:r>
      <w:proofErr w:type="gramEnd"/>
      <w:r w:rsidR="004A70A0" w:rsidRPr="00F41D83">
        <w:rPr>
          <w:rFonts w:cstheme="minorHAnsi"/>
        </w:rPr>
        <w:t xml:space="preserve"> </w:t>
      </w:r>
      <w:r w:rsidR="00DB06C4" w:rsidRPr="00F41D83">
        <w:rPr>
          <w:rFonts w:cstheme="minorHAnsi"/>
        </w:rPr>
        <w:t>to</w:t>
      </w:r>
      <w:r w:rsidR="009A6712" w:rsidRPr="00F41D83">
        <w:rPr>
          <w:rFonts w:cstheme="minorHAnsi"/>
        </w:rPr>
        <w:t xml:space="preserve"> </w:t>
      </w:r>
      <w:r w:rsidR="004F32B0" w:rsidRPr="00F41D83">
        <w:rPr>
          <w:rFonts w:cstheme="minorHAnsi"/>
        </w:rPr>
        <w:t>May</w:t>
      </w:r>
      <w:r w:rsidR="004E5634" w:rsidRPr="00F41D83">
        <w:rPr>
          <w:rFonts w:cstheme="minorHAnsi"/>
        </w:rPr>
        <w:t xml:space="preserve"> 1,</w:t>
      </w:r>
      <w:r w:rsidR="004F32B0" w:rsidRPr="00F41D83">
        <w:rPr>
          <w:rFonts w:cstheme="minorHAnsi"/>
        </w:rPr>
        <w:t xml:space="preserve"> 2021</w:t>
      </w:r>
      <w:r w:rsidR="00AA5D96" w:rsidRPr="00F41D83">
        <w:rPr>
          <w:rFonts w:cstheme="minorHAnsi"/>
        </w:rPr>
        <w:t>.</w:t>
      </w:r>
      <w:r w:rsidR="00452448" w:rsidRPr="00F41D83">
        <w:rPr>
          <w:rFonts w:cstheme="minorHAnsi"/>
        </w:rPr>
        <w:t xml:space="preserve"> The data was obtained from </w:t>
      </w:r>
      <w:r w:rsidR="000A63FC" w:rsidRPr="00F41D83">
        <w:rPr>
          <w:rFonts w:cstheme="minorHAnsi"/>
          <w:i/>
          <w:iCs/>
        </w:rPr>
        <w:t xml:space="preserve">Yahoo </w:t>
      </w:r>
      <w:r w:rsidR="004A1494" w:rsidRPr="00F41D83">
        <w:rPr>
          <w:rFonts w:cstheme="minorHAnsi"/>
          <w:i/>
          <w:iCs/>
        </w:rPr>
        <w:t>F</w:t>
      </w:r>
      <w:r w:rsidR="000A63FC" w:rsidRPr="00F41D83">
        <w:rPr>
          <w:rFonts w:cstheme="minorHAnsi"/>
          <w:i/>
          <w:iCs/>
        </w:rPr>
        <w:t>inance</w:t>
      </w:r>
      <w:r w:rsidR="000A63FC" w:rsidRPr="00F41D83">
        <w:rPr>
          <w:rFonts w:cstheme="minorHAnsi"/>
        </w:rPr>
        <w:t xml:space="preserve"> and can be accessed via the following link:</w:t>
      </w:r>
      <w:r w:rsidR="00A72C15" w:rsidRPr="00F41D83">
        <w:rPr>
          <w:rFonts w:cstheme="minorHAnsi"/>
        </w:rPr>
        <w:t xml:space="preserve"> </w:t>
      </w:r>
      <w:hyperlink r:id="rId8" w:history="1">
        <w:r w:rsidR="00A72C15" w:rsidRPr="00F41D83">
          <w:rPr>
            <w:rStyle w:val="Hyperlink"/>
            <w:rFonts w:cstheme="minorHAnsi"/>
          </w:rPr>
          <w:t>BTC</w:t>
        </w:r>
      </w:hyperlink>
      <w:r w:rsidR="00A72C15" w:rsidRPr="00F41D83">
        <w:rPr>
          <w:rFonts w:cstheme="minorHAnsi"/>
        </w:rPr>
        <w:t>.</w:t>
      </w:r>
      <w:r w:rsidR="00B85B8B" w:rsidRPr="00F41D83">
        <w:rPr>
          <w:rFonts w:cstheme="minorHAnsi"/>
        </w:rPr>
        <w:t xml:space="preserve"> Various </w:t>
      </w:r>
      <w:r w:rsidR="00346233" w:rsidRPr="00F41D83">
        <w:rPr>
          <w:rFonts w:cstheme="minorHAnsi"/>
        </w:rPr>
        <w:t xml:space="preserve">time series </w:t>
      </w:r>
      <w:r w:rsidR="00B85B8B" w:rsidRPr="00F41D83">
        <w:rPr>
          <w:rFonts w:cstheme="minorHAnsi"/>
        </w:rPr>
        <w:t>methods</w:t>
      </w:r>
      <w:r w:rsidR="00535B80" w:rsidRPr="00F41D83">
        <w:rPr>
          <w:rFonts w:cstheme="minorHAnsi"/>
        </w:rPr>
        <w:t xml:space="preserve"> </w:t>
      </w:r>
      <w:r w:rsidR="00A4555D" w:rsidRPr="00F41D83">
        <w:rPr>
          <w:rFonts w:cstheme="minorHAnsi"/>
        </w:rPr>
        <w:t>that were</w:t>
      </w:r>
      <w:r w:rsidR="0091473B" w:rsidRPr="00F41D83">
        <w:rPr>
          <w:rFonts w:cstheme="minorHAnsi"/>
        </w:rPr>
        <w:t xml:space="preserve"> </w:t>
      </w:r>
      <w:r w:rsidR="00EF7F15" w:rsidRPr="00F41D83">
        <w:rPr>
          <w:rFonts w:cstheme="minorHAnsi"/>
        </w:rPr>
        <w:t>discussed</w:t>
      </w:r>
      <w:r w:rsidR="00B85B8B" w:rsidRPr="00F41D83">
        <w:rPr>
          <w:rFonts w:cstheme="minorHAnsi"/>
        </w:rPr>
        <w:t xml:space="preserve"> throughout the co</w:t>
      </w:r>
      <w:r w:rsidR="00A97ABD" w:rsidRPr="00F41D83">
        <w:rPr>
          <w:rFonts w:cstheme="minorHAnsi"/>
        </w:rPr>
        <w:t>urse of th</w:t>
      </w:r>
      <w:r w:rsidR="00272616" w:rsidRPr="00F41D83">
        <w:rPr>
          <w:rFonts w:cstheme="minorHAnsi"/>
        </w:rPr>
        <w:t>e</w:t>
      </w:r>
      <w:r w:rsidR="00A97ABD" w:rsidRPr="00F41D83">
        <w:rPr>
          <w:rFonts w:cstheme="minorHAnsi"/>
        </w:rPr>
        <w:t xml:space="preserve"> semester will </w:t>
      </w:r>
      <w:r w:rsidR="004B6D76" w:rsidRPr="00F41D83">
        <w:rPr>
          <w:rFonts w:cstheme="minorHAnsi"/>
        </w:rPr>
        <w:t xml:space="preserve">be utilized </w:t>
      </w:r>
      <w:r w:rsidR="00F01F89" w:rsidRPr="00F41D83">
        <w:rPr>
          <w:rFonts w:cstheme="minorHAnsi"/>
        </w:rPr>
        <w:t>for</w:t>
      </w:r>
      <w:r w:rsidR="004B6D76" w:rsidRPr="00F41D83">
        <w:rPr>
          <w:rFonts w:cstheme="minorHAnsi"/>
        </w:rPr>
        <w:t xml:space="preserve"> </w:t>
      </w:r>
      <w:r w:rsidR="003C7FAE" w:rsidRPr="00F41D83">
        <w:rPr>
          <w:rFonts w:cstheme="minorHAnsi"/>
        </w:rPr>
        <w:t xml:space="preserve">this data </w:t>
      </w:r>
      <w:r w:rsidR="00A10591" w:rsidRPr="00F41D83">
        <w:rPr>
          <w:rFonts w:cstheme="minorHAnsi"/>
        </w:rPr>
        <w:t>analysis</w:t>
      </w:r>
      <w:r w:rsidR="007D3180" w:rsidRPr="00F41D83">
        <w:rPr>
          <w:rFonts w:cstheme="minorHAnsi"/>
        </w:rPr>
        <w:t xml:space="preserve">, </w:t>
      </w:r>
      <w:r w:rsidR="00A0318F">
        <w:rPr>
          <w:rFonts w:cstheme="minorHAnsi"/>
        </w:rPr>
        <w:t xml:space="preserve">competing </w:t>
      </w:r>
      <w:r w:rsidR="002F5FCF" w:rsidRPr="00F41D83">
        <w:rPr>
          <w:rFonts w:cstheme="minorHAnsi"/>
        </w:rPr>
        <w:t>model</w:t>
      </w:r>
      <w:r w:rsidR="000C177F">
        <w:rPr>
          <w:rFonts w:cstheme="minorHAnsi"/>
        </w:rPr>
        <w:t>s</w:t>
      </w:r>
      <w:r w:rsidR="002F5FCF" w:rsidRPr="00F41D83">
        <w:rPr>
          <w:rFonts w:cstheme="minorHAnsi"/>
        </w:rPr>
        <w:t xml:space="preserve"> will be</w:t>
      </w:r>
      <w:r w:rsidR="00B51CD3">
        <w:rPr>
          <w:rFonts w:cstheme="minorHAnsi"/>
        </w:rPr>
        <w:t xml:space="preserve"> built and </w:t>
      </w:r>
      <w:r w:rsidR="00116549">
        <w:rPr>
          <w:rFonts w:cstheme="minorHAnsi"/>
        </w:rPr>
        <w:t>assessed on performance</w:t>
      </w:r>
      <w:r w:rsidR="00C34DB0" w:rsidRPr="00F41D83">
        <w:rPr>
          <w:rFonts w:cstheme="minorHAnsi"/>
        </w:rPr>
        <w:t xml:space="preserve">, and </w:t>
      </w:r>
      <w:r w:rsidR="007A7761" w:rsidRPr="00F41D83">
        <w:rPr>
          <w:rFonts w:cstheme="minorHAnsi"/>
        </w:rPr>
        <w:t xml:space="preserve">overall conclusions </w:t>
      </w:r>
      <w:r w:rsidR="00FC36C2" w:rsidRPr="00F41D83">
        <w:rPr>
          <w:rFonts w:cstheme="minorHAnsi"/>
        </w:rPr>
        <w:t>about</w:t>
      </w:r>
      <w:r w:rsidR="007A7761" w:rsidRPr="00F41D83">
        <w:rPr>
          <w:rFonts w:cstheme="minorHAnsi"/>
        </w:rPr>
        <w:t xml:space="preserve"> BTC will be drawn</w:t>
      </w:r>
      <w:r w:rsidR="00B32BE6" w:rsidRPr="00F41D83">
        <w:rPr>
          <w:rFonts w:cstheme="minorHAnsi"/>
        </w:rPr>
        <w:t>.</w:t>
      </w:r>
    </w:p>
    <w:p w14:paraId="284E3A24" w14:textId="52DC163C" w:rsidR="00706A33" w:rsidRPr="00F41D83" w:rsidRDefault="00706A33" w:rsidP="00706A33">
      <w:pPr>
        <w:shd w:val="clear" w:color="auto" w:fill="FFFFFF"/>
        <w:spacing w:before="60" w:after="60" w:line="276" w:lineRule="auto"/>
        <w:textAlignment w:val="baseline"/>
        <w:rPr>
          <w:rFonts w:cstheme="minorHAnsi"/>
        </w:rPr>
      </w:pPr>
    </w:p>
    <w:p w14:paraId="604DCB12" w14:textId="375E493F" w:rsidR="00F93EFE" w:rsidRPr="00F41D83" w:rsidRDefault="008E7444" w:rsidP="003938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 w:rsidRPr="00F41D83">
        <w:rPr>
          <w:b/>
          <w:bCs/>
          <w:sz w:val="28"/>
          <w:szCs w:val="28"/>
        </w:rPr>
        <w:t>Methods</w:t>
      </w:r>
    </w:p>
    <w:p w14:paraId="372CBFEB" w14:textId="3A12B936" w:rsidR="003938A0" w:rsidRPr="00F41D83" w:rsidRDefault="003938A0" w:rsidP="003938A0">
      <w:pPr>
        <w:spacing w:line="276" w:lineRule="auto"/>
        <w:rPr>
          <w:b/>
          <w:bCs/>
          <w:sz w:val="28"/>
          <w:szCs w:val="28"/>
        </w:rPr>
      </w:pPr>
    </w:p>
    <w:p w14:paraId="7B582182" w14:textId="09AAF19D" w:rsidR="003938A0" w:rsidRDefault="001F1D76" w:rsidP="008C4C43">
      <w:pPr>
        <w:spacing w:line="276" w:lineRule="auto"/>
        <w:ind w:firstLine="360"/>
      </w:pPr>
      <w:r w:rsidRPr="00F41D83">
        <w:t>First, we</w:t>
      </w:r>
      <w:r w:rsidR="00226E04" w:rsidRPr="00F41D83">
        <w:t xml:space="preserve"> can take look at the realization, sample autocorrelation, and Parzen spectral density plots to </w:t>
      </w:r>
      <w:r w:rsidR="000F4B04">
        <w:t xml:space="preserve">try and </w:t>
      </w:r>
      <w:r w:rsidR="00226E04" w:rsidRPr="00F41D83">
        <w:t>analyze the data</w:t>
      </w:r>
      <w:r w:rsidR="0036595B">
        <w:t xml:space="preserve"> and describe the </w:t>
      </w:r>
      <w:r w:rsidR="001C3D30">
        <w:t>behavior</w:t>
      </w:r>
      <w:r w:rsidR="00226E04" w:rsidRPr="00F41D83">
        <w:t>.</w:t>
      </w:r>
      <w:r w:rsidR="007D2AEA">
        <w:t xml:space="preserve"> </w:t>
      </w:r>
      <w:hyperlink w:anchor="_Figure_1" w:history="1">
        <w:r w:rsidR="007D2AEA" w:rsidRPr="00786D42">
          <w:rPr>
            <w:rStyle w:val="Hyperlink"/>
          </w:rPr>
          <w:t>Figure 1</w:t>
        </w:r>
      </w:hyperlink>
      <w:r w:rsidR="00015E21">
        <w:t xml:space="preserve"> </w:t>
      </w:r>
      <w:r w:rsidR="00001C1E">
        <w:t>is demonstrated</w:t>
      </w:r>
      <w:r w:rsidR="00CA75AB">
        <w:t xml:space="preserve"> </w:t>
      </w:r>
      <w:r w:rsidR="00001C1E">
        <w:t>below</w:t>
      </w:r>
      <w:r w:rsidR="00340286">
        <w:t xml:space="preserve"> and represents </w:t>
      </w:r>
      <w:r w:rsidR="005C611F">
        <w:t xml:space="preserve">the realization for </w:t>
      </w:r>
      <w:r w:rsidR="00FC7BFA">
        <w:t>BTC.</w:t>
      </w:r>
      <w:r w:rsidR="00A34647">
        <w:t xml:space="preserve"> </w:t>
      </w:r>
    </w:p>
    <w:p w14:paraId="6B7684D6" w14:textId="660D95B2" w:rsidR="005368AD" w:rsidRDefault="006A3267" w:rsidP="00541B91">
      <w:pPr>
        <w:pStyle w:val="Heading1"/>
        <w:rPr>
          <w:sz w:val="28"/>
          <w:szCs w:val="28"/>
        </w:rPr>
      </w:pPr>
      <w:bookmarkStart w:id="0" w:name="_Figure_1"/>
      <w:bookmarkEnd w:id="0"/>
      <w:r>
        <w:rPr>
          <w:sz w:val="28"/>
          <w:szCs w:val="28"/>
        </w:rPr>
        <w:t>Figure 1</w:t>
      </w:r>
    </w:p>
    <w:p w14:paraId="3234CBFF" w14:textId="767AA9D1" w:rsidR="00786D42" w:rsidRDefault="0047685E" w:rsidP="00786D42">
      <w:r>
        <w:t xml:space="preserve">Figure 1: </w:t>
      </w:r>
      <w:r w:rsidR="007A6B9A">
        <w:t>BTC Realization</w:t>
      </w:r>
      <w:r w:rsidR="0050549D">
        <w:t xml:space="preserve"> </w:t>
      </w:r>
      <w:r w:rsidR="00A319A5">
        <w:t>of Price</w:t>
      </w:r>
      <w:r w:rsidR="00F810A5">
        <w:t xml:space="preserve"> per Share</w:t>
      </w:r>
      <w:r w:rsidR="00A319A5">
        <w:t xml:space="preserve"> vs.</w:t>
      </w:r>
      <w:r w:rsidR="009C66A7">
        <w:t xml:space="preserve"> </w:t>
      </w:r>
      <w:r w:rsidR="00386EC8">
        <w:t>Time</w:t>
      </w:r>
      <w:r w:rsidR="00587D54">
        <w:t xml:space="preserve"> </w:t>
      </w:r>
      <w:r w:rsidR="008E363F">
        <w:t>in</w:t>
      </w:r>
      <w:r w:rsidR="00587D54">
        <w:t xml:space="preserve"> </w:t>
      </w:r>
      <w:r w:rsidR="008E363F">
        <w:t>M</w:t>
      </w:r>
      <w:r w:rsidR="00386EC8">
        <w:t>onths</w:t>
      </w:r>
    </w:p>
    <w:p w14:paraId="49818EC3" w14:textId="319B0B74" w:rsidR="00266D9E" w:rsidRDefault="00EC31F3" w:rsidP="00786D42">
      <w:r>
        <w:rPr>
          <w:noProof/>
        </w:rPr>
        <w:drawing>
          <wp:inline distT="0" distB="0" distL="0" distR="0" wp14:anchorId="283D3332" wp14:editId="327065E3">
            <wp:extent cx="5120640" cy="3200400"/>
            <wp:effectExtent l="0" t="0" r="0" b="0"/>
            <wp:docPr id="1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953C" w14:textId="5750F470" w:rsidR="00E66CD5" w:rsidRDefault="00E66CD5" w:rsidP="00786D42"/>
    <w:p w14:paraId="6AE7711F" w14:textId="24E18CB4" w:rsidR="00A81BAB" w:rsidRDefault="003A536A" w:rsidP="00786D42">
      <w:r>
        <w:tab/>
      </w:r>
      <w:r w:rsidR="008C4929">
        <w:t xml:space="preserve">The realization above shows </w:t>
      </w:r>
      <w:r w:rsidR="00570E52">
        <w:t>t</w:t>
      </w:r>
      <w:r w:rsidR="008C4929">
        <w:t>ime</w:t>
      </w:r>
      <w:r w:rsidR="00570E52">
        <w:t xml:space="preserve"> in months on the x</w:t>
      </w:r>
      <w:r w:rsidR="001C0A09">
        <w:t>-</w:t>
      </w:r>
      <w:r w:rsidR="00F64CC7">
        <w:t>a</w:t>
      </w:r>
      <w:r w:rsidR="00570E52">
        <w:t xml:space="preserve">xis and </w:t>
      </w:r>
      <w:r w:rsidR="009A5334">
        <w:t xml:space="preserve">price </w:t>
      </w:r>
      <w:r w:rsidR="00EA0999">
        <w:t xml:space="preserve">per share of BTC </w:t>
      </w:r>
      <w:r w:rsidR="009A5334">
        <w:t>on the y-axis</w:t>
      </w:r>
      <w:r w:rsidR="00335ECD">
        <w:t>, and</w:t>
      </w:r>
      <w:r w:rsidR="008C4929">
        <w:t xml:space="preserve"> </w:t>
      </w:r>
      <w:r w:rsidR="00335ECD">
        <w:t>a</w:t>
      </w:r>
      <w:r>
        <w:t>s we can</w:t>
      </w:r>
      <w:r w:rsidR="00E24C77">
        <w:t xml:space="preserve"> also</w:t>
      </w:r>
      <w:r>
        <w:t xml:space="preserve"> se</w:t>
      </w:r>
      <w:r w:rsidR="00335ECD">
        <w:t>e</w:t>
      </w:r>
      <w:r w:rsidR="00117CE0">
        <w:t>,</w:t>
      </w:r>
      <w:r>
        <w:t xml:space="preserve"> it looks like BTC</w:t>
      </w:r>
      <w:r w:rsidR="00D86DD1">
        <w:t xml:space="preserve"> has more recently gone way up in value (i.e., it went to the moon).</w:t>
      </w:r>
      <w:r w:rsidR="0008634E">
        <w:t xml:space="preserve"> </w:t>
      </w:r>
      <w:r w:rsidR="000609D4">
        <w:t>We can see that</w:t>
      </w:r>
      <w:r w:rsidR="00042E53">
        <w:t xml:space="preserve"> at certain</w:t>
      </w:r>
      <w:r w:rsidR="00C54644">
        <w:t xml:space="preserve"> </w:t>
      </w:r>
      <w:r w:rsidR="00826B3A">
        <w:t>time</w:t>
      </w:r>
      <w:r w:rsidR="00526E0A">
        <w:t xml:space="preserve"> </w:t>
      </w:r>
      <w:r w:rsidR="00C54644">
        <w:t xml:space="preserve">points of </w:t>
      </w:r>
      <w:r w:rsidR="009155C7">
        <w:t xml:space="preserve">the </w:t>
      </w:r>
      <w:r w:rsidR="00E729CE">
        <w:t>dat</w:t>
      </w:r>
      <w:r w:rsidR="00646931">
        <w:t>a</w:t>
      </w:r>
      <w:r w:rsidR="00E729CE">
        <w:t xml:space="preserve"> </w:t>
      </w:r>
      <w:r w:rsidR="0012531D">
        <w:t>there are</w:t>
      </w:r>
      <w:r w:rsidR="000D053E">
        <w:t xml:space="preserve"> </w:t>
      </w:r>
      <w:r w:rsidR="00C01C5C">
        <w:t xml:space="preserve">periods with </w:t>
      </w:r>
      <w:r w:rsidR="00DE5303">
        <w:t xml:space="preserve">drastic increases </w:t>
      </w:r>
      <w:r w:rsidR="00B53C88">
        <w:t>or</w:t>
      </w:r>
      <w:r w:rsidR="00DE5303">
        <w:t xml:space="preserve"> </w:t>
      </w:r>
      <w:r w:rsidR="00527B45">
        <w:t xml:space="preserve">decreases </w:t>
      </w:r>
      <w:r w:rsidR="007D6F11">
        <w:t>in Bitcoin price</w:t>
      </w:r>
      <w:r w:rsidR="00FF0FDC">
        <w:t>s</w:t>
      </w:r>
      <w:r w:rsidR="00C121D0">
        <w:t xml:space="preserve"> per share</w:t>
      </w:r>
      <w:r w:rsidR="007D6F11">
        <w:t>.</w:t>
      </w:r>
      <w:r w:rsidR="004F1138">
        <w:t xml:space="preserve"> </w:t>
      </w:r>
      <w:r w:rsidR="00115E69">
        <w:t>A</w:t>
      </w:r>
      <w:r w:rsidR="00EB4FD4">
        <w:t xml:space="preserve"> large increase in price</w:t>
      </w:r>
      <w:r w:rsidR="00115E69">
        <w:t xml:space="preserve"> </w:t>
      </w:r>
      <w:r w:rsidR="005D457A">
        <w:t xml:space="preserve">seems to occur </w:t>
      </w:r>
      <w:r w:rsidR="00D97897">
        <w:t xml:space="preserve">between </w:t>
      </w:r>
      <w:r w:rsidR="00835B63">
        <w:t>August</w:t>
      </w:r>
      <w:r w:rsidR="005D457A">
        <w:t xml:space="preserve"> </w:t>
      </w:r>
      <w:r w:rsidR="0009391C">
        <w:t xml:space="preserve">1, </w:t>
      </w:r>
      <w:proofErr w:type="gramStart"/>
      <w:r w:rsidR="0009391C">
        <w:t>2017</w:t>
      </w:r>
      <w:proofErr w:type="gramEnd"/>
      <w:r w:rsidR="0009391C">
        <w:t xml:space="preserve"> and </w:t>
      </w:r>
      <w:r w:rsidR="00714D35">
        <w:t>December 1, 2017</w:t>
      </w:r>
      <w:r w:rsidR="002E5E27">
        <w:t xml:space="preserve">, and </w:t>
      </w:r>
      <w:r w:rsidR="007B21D7">
        <w:t xml:space="preserve">an even larger increase </w:t>
      </w:r>
      <w:r w:rsidR="002E5E27">
        <w:t>again</w:t>
      </w:r>
      <w:r w:rsidR="000E07E3">
        <w:t xml:space="preserve"> between </w:t>
      </w:r>
      <w:r w:rsidR="00CC022A">
        <w:t>May 1, 2020 and May 1, 2021</w:t>
      </w:r>
      <w:r w:rsidR="00A354AC">
        <w:t xml:space="preserve">. </w:t>
      </w:r>
      <w:r w:rsidR="009221C0">
        <w:t>The realization</w:t>
      </w:r>
      <w:r w:rsidR="00052F75">
        <w:t xml:space="preserve"> also seems to show that with each </w:t>
      </w:r>
      <w:r w:rsidR="008856B4">
        <w:t>major</w:t>
      </w:r>
      <w:r w:rsidR="004E1738">
        <w:t xml:space="preserve"> </w:t>
      </w:r>
      <w:r w:rsidR="00052F75">
        <w:t xml:space="preserve">increase </w:t>
      </w:r>
      <w:r w:rsidR="002860D4">
        <w:t xml:space="preserve">there </w:t>
      </w:r>
      <w:r w:rsidR="00C5410A">
        <w:t xml:space="preserve">seems to be a </w:t>
      </w:r>
      <w:r w:rsidR="00C54382">
        <w:t>steadier</w:t>
      </w:r>
      <w:r w:rsidR="00C5410A">
        <w:t xml:space="preserve"> decrease, but also periods where </w:t>
      </w:r>
      <w:r w:rsidR="008E01C3">
        <w:t xml:space="preserve">prices seem to </w:t>
      </w:r>
      <w:r w:rsidR="00067CA7">
        <w:t>stabilize</w:t>
      </w:r>
      <w:r w:rsidR="000115E3">
        <w:t xml:space="preserve"> </w:t>
      </w:r>
      <w:r w:rsidR="001826D0">
        <w:t>at new</w:t>
      </w:r>
      <w:r w:rsidR="00A25101">
        <w:t xml:space="preserve"> </w:t>
      </w:r>
      <w:r w:rsidR="00F943CF">
        <w:t>average</w:t>
      </w:r>
      <w:r w:rsidR="00D42C09">
        <w:t>s</w:t>
      </w:r>
      <w:r w:rsidR="00067CA7">
        <w:t>.</w:t>
      </w:r>
      <w:r w:rsidR="00224BEF">
        <w:t xml:space="preserve"> Next, </w:t>
      </w:r>
      <w:hyperlink w:anchor="_Figure_2" w:history="1">
        <w:r w:rsidR="00224BEF" w:rsidRPr="00055E18">
          <w:rPr>
            <w:rStyle w:val="Hyperlink"/>
          </w:rPr>
          <w:t>Figure 2</w:t>
        </w:r>
      </w:hyperlink>
      <w:r w:rsidR="00A90886">
        <w:t xml:space="preserve"> below</w:t>
      </w:r>
      <w:r w:rsidR="00224BEF">
        <w:t xml:space="preserve"> portray</w:t>
      </w:r>
      <w:r w:rsidR="00890C10">
        <w:t>s</w:t>
      </w:r>
      <w:r w:rsidR="00266A07">
        <w:t xml:space="preserve"> the</w:t>
      </w:r>
      <w:r w:rsidR="00B41AD4">
        <w:t xml:space="preserve"> </w:t>
      </w:r>
      <w:r w:rsidR="00B8158A">
        <w:t xml:space="preserve">realization, </w:t>
      </w:r>
      <w:r w:rsidR="00B41AD4">
        <w:t>sample autocorrelation</w:t>
      </w:r>
      <w:r w:rsidR="00AD606D">
        <w:t>,</w:t>
      </w:r>
      <w:r w:rsidR="00B41AD4">
        <w:t xml:space="preserve"> and</w:t>
      </w:r>
      <w:r w:rsidR="00266A07">
        <w:t xml:space="preserve"> spectral density</w:t>
      </w:r>
      <w:r w:rsidR="00E71088">
        <w:t xml:space="preserve"> plots</w:t>
      </w:r>
      <w:r w:rsidR="00C760A6">
        <w:t xml:space="preserve"> for this data</w:t>
      </w:r>
      <w:r w:rsidR="0091354A">
        <w:t>.</w:t>
      </w:r>
    </w:p>
    <w:p w14:paraId="3A1E838F" w14:textId="38399492" w:rsidR="00083FD3" w:rsidRDefault="00083FD3" w:rsidP="00083FD3">
      <w:pPr>
        <w:pStyle w:val="Heading1"/>
        <w:rPr>
          <w:sz w:val="28"/>
          <w:szCs w:val="28"/>
        </w:rPr>
      </w:pPr>
      <w:bookmarkStart w:id="1" w:name="_Figure_2"/>
      <w:bookmarkEnd w:id="1"/>
      <w:r>
        <w:rPr>
          <w:sz w:val="28"/>
          <w:szCs w:val="28"/>
        </w:rPr>
        <w:t xml:space="preserve">Figure </w:t>
      </w:r>
      <w:r w:rsidR="005B39EB">
        <w:rPr>
          <w:sz w:val="28"/>
          <w:szCs w:val="28"/>
        </w:rPr>
        <w:t>2</w:t>
      </w:r>
    </w:p>
    <w:p w14:paraId="194ACC06" w14:textId="054F635E" w:rsidR="0091354A" w:rsidRDefault="00083FD3" w:rsidP="00786D42">
      <w:r>
        <w:t xml:space="preserve">Figure </w:t>
      </w:r>
      <w:r w:rsidR="000E2D7E">
        <w:t>2</w:t>
      </w:r>
      <w:r>
        <w:t>: BTC Realization</w:t>
      </w:r>
      <w:r w:rsidR="00F7302B">
        <w:t>,</w:t>
      </w:r>
      <w:r w:rsidR="00BA5FE7">
        <w:t xml:space="preserve"> Sample Autocorrelation, and</w:t>
      </w:r>
      <w:r w:rsidR="00F7302B">
        <w:t xml:space="preserve"> Spectral Density Plots</w:t>
      </w:r>
    </w:p>
    <w:p w14:paraId="51A3CF29" w14:textId="5C58D1CF" w:rsidR="003311D0" w:rsidRDefault="001E7B64" w:rsidP="00786D42">
      <w:r>
        <w:rPr>
          <w:noProof/>
        </w:rPr>
        <w:lastRenderedPageBreak/>
        <w:drawing>
          <wp:inline distT="0" distB="0" distL="0" distR="0" wp14:anchorId="43911AF7" wp14:editId="7995B5D1">
            <wp:extent cx="5120640" cy="32004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8BFF" w14:textId="77777777" w:rsidR="001401C8" w:rsidRDefault="001401C8" w:rsidP="001401C8">
      <w:pPr>
        <w:widowControl w:val="0"/>
        <w:shd w:val="clear" w:color="auto" w:fill="FFFFFF"/>
        <w:autoSpaceDE w:val="0"/>
        <w:autoSpaceDN w:val="0"/>
        <w:adjustRightInd w:val="0"/>
        <w:spacing w:before="120"/>
      </w:pPr>
    </w:p>
    <w:p w14:paraId="347048EF" w14:textId="14488C11" w:rsidR="001401C8" w:rsidRDefault="00943C98" w:rsidP="00885AEB">
      <w:pPr>
        <w:widowControl w:val="0"/>
        <w:shd w:val="clear" w:color="auto" w:fill="FFFFFF"/>
        <w:autoSpaceDE w:val="0"/>
        <w:autoSpaceDN w:val="0"/>
        <w:adjustRightInd w:val="0"/>
        <w:spacing w:before="120"/>
        <w:ind w:firstLine="72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figure above shows </w:t>
      </w:r>
      <w:r w:rsidR="006C40C5">
        <w:rPr>
          <w:rFonts w:eastAsiaTheme="minorEastAsia" w:cstheme="minorHAnsi"/>
        </w:rPr>
        <w:t xml:space="preserve">a </w:t>
      </w:r>
      <w:r w:rsidR="001401C8" w:rsidRPr="000A4275">
        <w:rPr>
          <w:rFonts w:eastAsiaTheme="minorEastAsia" w:cstheme="minorHAnsi"/>
        </w:rPr>
        <w:t xml:space="preserve">sample autocorrelations plot </w:t>
      </w:r>
      <w:r w:rsidR="0046164F">
        <w:rPr>
          <w:rFonts w:eastAsiaTheme="minorEastAsia" w:cstheme="minorHAnsi"/>
        </w:rPr>
        <w:t>with a</w:t>
      </w:r>
      <w:r w:rsidR="00973548">
        <w:rPr>
          <w:rFonts w:eastAsiaTheme="minorEastAsia" w:cstheme="minorHAnsi"/>
        </w:rPr>
        <w:t xml:space="preserve"> </w:t>
      </w:r>
      <w:r w:rsidR="000876F8">
        <w:rPr>
          <w:rFonts w:eastAsiaTheme="minorEastAsia" w:cstheme="minorHAnsi"/>
        </w:rPr>
        <w:t xml:space="preserve">rather steadily </w:t>
      </w:r>
      <w:r w:rsidR="00973548">
        <w:rPr>
          <w:rFonts w:eastAsiaTheme="minorEastAsia" w:cstheme="minorHAnsi"/>
        </w:rPr>
        <w:t>decreasing</w:t>
      </w:r>
      <w:r w:rsidR="001401C8" w:rsidRPr="000A4275">
        <w:rPr>
          <w:rFonts w:eastAsiaTheme="minorEastAsia" w:cstheme="minorHAnsi"/>
        </w:rPr>
        <w:t xml:space="preserve"> </w:t>
      </w:r>
      <w:r w:rsidR="001401C8" w:rsidRPr="000A4275">
        <w:rPr>
          <w:rFonts w:cstheme="minorHAnsi"/>
        </w:rPr>
        <w:t>relationship</w:t>
      </w:r>
      <w:r w:rsidR="005A323D">
        <w:rPr>
          <w:rFonts w:cstheme="minorHAnsi"/>
        </w:rPr>
        <w:t xml:space="preserve"> </w:t>
      </w:r>
      <w:r w:rsidR="001401C8" w:rsidRPr="000A4275">
        <w:rPr>
          <w:rFonts w:cstheme="minorHAnsi"/>
        </w:rPr>
        <w:t xml:space="preserve">between observations at time </w:t>
      </w:r>
      <m:oMath>
        <m:r>
          <w:rPr>
            <w:rFonts w:ascii="Cambria Math" w:hAnsi="Cambria Math" w:cstheme="minorHAnsi"/>
          </w:rPr>
          <m:t>t</m:t>
        </m:r>
      </m:oMath>
      <w:r w:rsidR="001401C8" w:rsidRPr="000A4275">
        <w:rPr>
          <w:rFonts w:cstheme="minorHAnsi"/>
        </w:rPr>
        <w:t xml:space="preserve"> and time </w:t>
      </w:r>
      <m:oMath>
        <m:r>
          <w:rPr>
            <w:rFonts w:ascii="Cambria Math" w:hAnsi="Cambria Math" w:cstheme="minorHAnsi"/>
          </w:rPr>
          <m:t>t+k</m:t>
        </m:r>
      </m:oMath>
      <w:r w:rsidR="001401C8" w:rsidRPr="000A4275">
        <w:rPr>
          <w:rFonts w:cstheme="minorHAnsi"/>
        </w:rPr>
        <w:t xml:space="preserve"> for values of </w:t>
      </w:r>
      <m:oMath>
        <m:r>
          <w:rPr>
            <w:rFonts w:ascii="Cambria Math" w:hAnsi="Cambria Math" w:cstheme="minorHAnsi"/>
          </w:rPr>
          <m:t>k</m:t>
        </m:r>
      </m:oMath>
      <w:r w:rsidR="001401C8" w:rsidRPr="000A4275">
        <w:rPr>
          <w:rFonts w:cstheme="minorHAnsi"/>
        </w:rPr>
        <w:t xml:space="preserve"> larger than  </w:t>
      </w:r>
      <m:oMath>
        <m:r>
          <w:rPr>
            <w:rFonts w:ascii="Cambria Math" w:hAnsi="Cambria Math" w:cstheme="minorHAnsi"/>
          </w:rPr>
          <m:t>k=1</m:t>
        </m:r>
      </m:oMath>
      <w:r w:rsidR="003B2F36">
        <w:rPr>
          <w:rFonts w:eastAsiaTheme="minorEastAsia" w:cstheme="minorHAnsi"/>
        </w:rPr>
        <w:t xml:space="preserve">, </w:t>
      </w:r>
      <w:r w:rsidR="003B2F36">
        <w:rPr>
          <w:rFonts w:cstheme="minorHAnsi"/>
        </w:rPr>
        <w:t xml:space="preserve">and a little bit of sinusoidal behavior </w:t>
      </w:r>
      <w:r w:rsidR="000323D9">
        <w:rPr>
          <w:rFonts w:cstheme="minorHAnsi"/>
        </w:rPr>
        <w:t>at</w:t>
      </w:r>
      <w:r w:rsidR="003B2F36">
        <w:rPr>
          <w:rFonts w:cstheme="minorHAnsi"/>
        </w:rPr>
        <w:t xml:space="preserve"> the end</w:t>
      </w:r>
      <w:r w:rsidR="001401C8" w:rsidRPr="000A4275">
        <w:rPr>
          <w:rFonts w:cstheme="minorHAnsi"/>
        </w:rPr>
        <w:t xml:space="preserve">. For instance, </w:t>
      </w:r>
      <w:r w:rsidR="001401C8" w:rsidRPr="000A4275">
        <w:rPr>
          <w:rFonts w:eastAsiaTheme="minorEastAsia" w:cstheme="minorHAnsi"/>
        </w:rPr>
        <w:t xml:space="preserve">the correlation between </w:t>
      </w:r>
      <w:r w:rsidR="001401C8" w:rsidRPr="000A4275">
        <w:rPr>
          <w:rFonts w:cstheme="minorHAnsi"/>
        </w:rPr>
        <w:t xml:space="preserve">times </w:t>
      </w:r>
      <m:oMath>
        <m:r>
          <w:rPr>
            <w:rFonts w:ascii="Cambria Math" w:hAnsi="Cambria Math" w:cstheme="minorHAnsi"/>
          </w:rPr>
          <m:t xml:space="preserve">t </m:t>
        </m:r>
      </m:oMath>
      <w:r w:rsidR="001401C8" w:rsidRPr="000A4275">
        <w:rPr>
          <w:rFonts w:cstheme="minorHAnsi"/>
        </w:rPr>
        <w:t xml:space="preserve">and </w:t>
      </w:r>
      <m:oMath>
        <m:r>
          <w:rPr>
            <w:rFonts w:ascii="Cambria Math" w:hAnsi="Cambria Math" w:cstheme="minorHAnsi"/>
          </w:rPr>
          <m:t>t+15</m:t>
        </m:r>
      </m:oMath>
      <w:r w:rsidR="001401C8" w:rsidRPr="000A4275">
        <w:rPr>
          <w:rFonts w:cstheme="minorHAnsi"/>
        </w:rPr>
        <w:t xml:space="preserve"> </w:t>
      </w:r>
      <w:r w:rsidR="001401C8" w:rsidRPr="000A4275">
        <w:rPr>
          <w:rFonts w:eastAsiaTheme="minorEastAsia" w:cstheme="minorHAnsi"/>
        </w:rPr>
        <w:t>is still positive</w:t>
      </w:r>
      <w:r w:rsidR="005A323D">
        <w:rPr>
          <w:rFonts w:eastAsiaTheme="minorEastAsia" w:cstheme="minorHAnsi"/>
        </w:rPr>
        <w:t xml:space="preserve"> and remains somewhat strong</w:t>
      </w:r>
      <w:r w:rsidR="001401C8" w:rsidRPr="000A4275">
        <w:rPr>
          <w:rFonts w:eastAsiaTheme="minorEastAsia" w:cstheme="minorHAnsi"/>
        </w:rPr>
        <w:t xml:space="preserve">. Also, the spectral density plot </w:t>
      </w:r>
      <w:r w:rsidR="001401C8">
        <w:rPr>
          <w:rFonts w:eastAsiaTheme="minorEastAsia" w:cstheme="minorHAnsi"/>
        </w:rPr>
        <w:t>appears to show a frequency</w:t>
      </w:r>
      <w:r w:rsidR="005F0DE7">
        <w:rPr>
          <w:rFonts w:eastAsiaTheme="minorEastAsia" w:cstheme="minorHAnsi"/>
        </w:rPr>
        <w:t xml:space="preserve"> peak</w:t>
      </w:r>
      <w:r w:rsidR="001401C8" w:rsidRPr="000A4275">
        <w:rPr>
          <w:rFonts w:eastAsiaTheme="minorEastAsia" w:cstheme="minorHAnsi"/>
        </w:rPr>
        <w:t xml:space="preserve"> </w:t>
      </w:r>
      <w:r w:rsidR="001401C8">
        <w:rPr>
          <w:rFonts w:eastAsiaTheme="minorEastAsia" w:cstheme="minorHAnsi"/>
        </w:rPr>
        <w:t xml:space="preserve">at </w:t>
      </w:r>
      <m:oMath>
        <m:r>
          <w:rPr>
            <w:rFonts w:ascii="Cambria Math" w:hAnsi="Cambria Math" w:cstheme="minorHAnsi"/>
          </w:rPr>
          <m:t>f=0</m:t>
        </m:r>
      </m:oMath>
      <w:r w:rsidR="000C2D47">
        <w:rPr>
          <w:rFonts w:eastAsiaTheme="minorEastAsia" w:cstheme="minorHAnsi"/>
        </w:rPr>
        <w:t>, and</w:t>
      </w:r>
      <w:r w:rsidR="007E40CF">
        <w:rPr>
          <w:rFonts w:eastAsiaTheme="minorEastAsia" w:cstheme="minorHAnsi"/>
        </w:rPr>
        <w:t xml:space="preserve"> a much smaller </w:t>
      </w:r>
      <w:r w:rsidR="00885AEB">
        <w:rPr>
          <w:rFonts w:eastAsiaTheme="minorEastAsia" w:cstheme="minorHAnsi"/>
        </w:rPr>
        <w:t xml:space="preserve">frequency peak seems to be forming </w:t>
      </w:r>
      <w:r w:rsidR="00633359">
        <w:rPr>
          <w:rFonts w:eastAsiaTheme="minorEastAsia" w:cstheme="minorHAnsi"/>
        </w:rPr>
        <w:t xml:space="preserve">at about </w:t>
      </w:r>
      <m:oMath>
        <m:r>
          <w:rPr>
            <w:rFonts w:ascii="Cambria Math" w:hAnsi="Cambria Math" w:cstheme="minorHAnsi"/>
          </w:rPr>
          <m:t>f=0.5</m:t>
        </m:r>
      </m:oMath>
      <w:r w:rsidR="00E8593E">
        <w:rPr>
          <w:rFonts w:eastAsiaTheme="minorEastAsia" w:cstheme="minorHAnsi"/>
        </w:rPr>
        <w:t>.</w:t>
      </w:r>
      <w:r w:rsidR="000470DB">
        <w:rPr>
          <w:rFonts w:eastAsiaTheme="minorEastAsia" w:cstheme="minorHAnsi"/>
        </w:rPr>
        <w:t xml:space="preserve"> </w:t>
      </w:r>
      <w:r w:rsidR="00004D8A">
        <w:rPr>
          <w:rFonts w:eastAsiaTheme="minorEastAsia" w:cstheme="minorHAnsi"/>
        </w:rPr>
        <w:t xml:space="preserve">The plot </w:t>
      </w:r>
      <w:proofErr w:type="gramStart"/>
      <w:r w:rsidR="00004D8A">
        <w:rPr>
          <w:rFonts w:eastAsiaTheme="minorEastAsia" w:cstheme="minorHAnsi"/>
        </w:rPr>
        <w:t xml:space="preserve">as a whole </w:t>
      </w:r>
      <w:r w:rsidR="00004D8A" w:rsidRPr="00261FE0">
        <w:rPr>
          <w:rFonts w:eastAsiaTheme="minorEastAsia" w:cstheme="minorHAnsi"/>
        </w:rPr>
        <w:t>appear</w:t>
      </w:r>
      <w:r w:rsidR="00004D8A">
        <w:rPr>
          <w:rFonts w:eastAsiaTheme="minorEastAsia" w:cstheme="minorHAnsi"/>
        </w:rPr>
        <w:t>s</w:t>
      </w:r>
      <w:proofErr w:type="gramEnd"/>
      <w:r w:rsidR="00004D8A" w:rsidRPr="00261FE0">
        <w:rPr>
          <w:rFonts w:eastAsiaTheme="minorEastAsia" w:cstheme="minorHAnsi"/>
        </w:rPr>
        <w:t xml:space="preserve"> to</w:t>
      </w:r>
      <w:r w:rsidR="0081345E">
        <w:rPr>
          <w:rFonts w:eastAsiaTheme="minorEastAsia" w:cstheme="minorHAnsi"/>
        </w:rPr>
        <w:t xml:space="preserve"> gradually</w:t>
      </w:r>
      <w:r w:rsidR="00004D8A" w:rsidRPr="00261FE0">
        <w:rPr>
          <w:rFonts w:eastAsiaTheme="minorEastAsia" w:cstheme="minorHAnsi"/>
        </w:rPr>
        <w:t xml:space="preserve"> flatten</w:t>
      </w:r>
      <w:r w:rsidR="0081345E">
        <w:rPr>
          <w:rFonts w:eastAsiaTheme="minorEastAsia" w:cstheme="minorHAnsi"/>
        </w:rPr>
        <w:t xml:space="preserve"> out.</w:t>
      </w:r>
      <w:r w:rsidR="00004D8A" w:rsidRPr="00261FE0">
        <w:rPr>
          <w:rFonts w:eastAsiaTheme="minorEastAsia" w:cstheme="minorHAnsi"/>
        </w:rPr>
        <w:t xml:space="preserve"> </w:t>
      </w:r>
      <w:r w:rsidR="00677AC3">
        <w:rPr>
          <w:rFonts w:eastAsiaTheme="minorEastAsia" w:cstheme="minorHAnsi"/>
        </w:rPr>
        <w:t xml:space="preserve">Next, </w:t>
      </w:r>
      <w:r w:rsidR="00E06D1E">
        <w:rPr>
          <w:rFonts w:eastAsiaTheme="minorEastAsia" w:cstheme="minorHAnsi"/>
        </w:rPr>
        <w:t>to</w:t>
      </w:r>
      <w:r w:rsidR="000470DB">
        <w:rPr>
          <w:rFonts w:eastAsiaTheme="minorEastAsia" w:cstheme="minorHAnsi"/>
        </w:rPr>
        <w:t xml:space="preserve"> </w:t>
      </w:r>
      <w:r w:rsidR="00DD56B4">
        <w:rPr>
          <w:rFonts w:eastAsiaTheme="minorEastAsia" w:cstheme="minorHAnsi"/>
        </w:rPr>
        <w:t>see about stationarity</w:t>
      </w:r>
      <w:r w:rsidR="00344E0E">
        <w:rPr>
          <w:rFonts w:eastAsiaTheme="minorEastAsia" w:cstheme="minorHAnsi"/>
        </w:rPr>
        <w:t xml:space="preserve">, </w:t>
      </w:r>
      <w:r w:rsidR="00027353">
        <w:rPr>
          <w:rFonts w:eastAsiaTheme="minorEastAsia" w:cstheme="minorHAnsi"/>
        </w:rPr>
        <w:t xml:space="preserve">we must examine the </w:t>
      </w:r>
      <w:r w:rsidR="007E46C0">
        <w:rPr>
          <w:rFonts w:eastAsiaTheme="minorEastAsia" w:cstheme="minorHAnsi"/>
        </w:rPr>
        <w:t xml:space="preserve">factor tables before and after fitting </w:t>
      </w:r>
      <w:r w:rsidR="00323B34">
        <w:rPr>
          <w:rFonts w:eastAsiaTheme="minorEastAsia" w:cstheme="minorHAnsi"/>
        </w:rPr>
        <w:t xml:space="preserve">a </w:t>
      </w:r>
      <w:r w:rsidR="00E5529C">
        <w:rPr>
          <w:rFonts w:eastAsiaTheme="minorEastAsia" w:cstheme="minorHAnsi"/>
        </w:rPr>
        <w:t>model</w:t>
      </w:r>
      <w:r w:rsidR="007E46C0">
        <w:rPr>
          <w:rFonts w:eastAsiaTheme="minorEastAsia" w:cstheme="minorHAnsi"/>
        </w:rPr>
        <w:t>.</w:t>
      </w:r>
      <w:r w:rsidR="00926ABD">
        <w:rPr>
          <w:rFonts w:eastAsiaTheme="minorEastAsia" w:cstheme="minorHAnsi"/>
        </w:rPr>
        <w:t xml:space="preserve"> </w:t>
      </w:r>
      <w:hyperlink w:anchor="_Table_1" w:history="1">
        <w:r w:rsidR="00F72F94" w:rsidRPr="00C8572B">
          <w:rPr>
            <w:rStyle w:val="Hyperlink"/>
            <w:rFonts w:eastAsiaTheme="minorEastAsia" w:cstheme="minorHAnsi"/>
          </w:rPr>
          <w:t>Table 1</w:t>
        </w:r>
      </w:hyperlink>
      <w:r w:rsidR="00F72F94">
        <w:rPr>
          <w:rFonts w:eastAsiaTheme="minorEastAsia" w:cstheme="minorHAnsi"/>
        </w:rPr>
        <w:t xml:space="preserve"> belo</w:t>
      </w:r>
      <w:r w:rsidR="00AD6297">
        <w:rPr>
          <w:rFonts w:eastAsiaTheme="minorEastAsia" w:cstheme="minorHAnsi"/>
        </w:rPr>
        <w:t xml:space="preserve">w demonstrates </w:t>
      </w:r>
      <w:r w:rsidR="0094632B">
        <w:rPr>
          <w:rFonts w:eastAsiaTheme="minorEastAsia" w:cstheme="minorHAnsi"/>
        </w:rPr>
        <w:t>a</w:t>
      </w:r>
      <w:r w:rsidR="00AD6297">
        <w:rPr>
          <w:rFonts w:eastAsiaTheme="minorEastAsia" w:cstheme="minorHAnsi"/>
        </w:rPr>
        <w:t xml:space="preserve"> factor </w:t>
      </w:r>
      <w:r w:rsidR="00272D60">
        <w:rPr>
          <w:rFonts w:eastAsiaTheme="minorEastAsia" w:cstheme="minorHAnsi"/>
        </w:rPr>
        <w:t>table</w:t>
      </w:r>
      <w:r w:rsidR="0001486D">
        <w:rPr>
          <w:rFonts w:eastAsiaTheme="minorEastAsia" w:cstheme="minorHAnsi"/>
        </w:rPr>
        <w:t xml:space="preserve"> for this data</w:t>
      </w:r>
      <w:r w:rsidR="00272D60">
        <w:rPr>
          <w:rFonts w:eastAsiaTheme="minorEastAsia" w:cstheme="minorHAnsi"/>
        </w:rPr>
        <w:t>.</w:t>
      </w:r>
    </w:p>
    <w:p w14:paraId="4295442A" w14:textId="36FFAB6B" w:rsidR="00B84CCA" w:rsidRDefault="005C0B1C" w:rsidP="005C0B1C">
      <w:pPr>
        <w:pStyle w:val="Heading1"/>
        <w:rPr>
          <w:rFonts w:eastAsiaTheme="minorEastAsia"/>
          <w:sz w:val="28"/>
          <w:szCs w:val="28"/>
        </w:rPr>
      </w:pPr>
      <w:bookmarkStart w:id="2" w:name="_Table_1"/>
      <w:bookmarkEnd w:id="2"/>
      <w:r>
        <w:rPr>
          <w:rFonts w:eastAsiaTheme="minorEastAsia"/>
          <w:sz w:val="28"/>
          <w:szCs w:val="28"/>
        </w:rPr>
        <w:t>Table 1</w:t>
      </w:r>
    </w:p>
    <w:p w14:paraId="095FFB58" w14:textId="03A3A896" w:rsidR="00DF5951" w:rsidRDefault="00707AED" w:rsidP="00DF5951">
      <w:r>
        <w:t>Table</w:t>
      </w:r>
      <w:r w:rsidR="00E96963">
        <w:t xml:space="preserve"> </w:t>
      </w:r>
      <w:r>
        <w:t>1</w:t>
      </w:r>
      <w:r w:rsidR="00E96963">
        <w:t xml:space="preserve">: </w:t>
      </w:r>
      <w:r w:rsidR="005440D0">
        <w:t>Factor Table for B</w:t>
      </w:r>
      <w:r w:rsidR="00DC315B">
        <w:t>TC</w:t>
      </w:r>
      <w:r w:rsidR="004303E0">
        <w:t xml:space="preserve"> T</w:t>
      </w:r>
      <w:r w:rsidR="002B6B76">
        <w:t xml:space="preserve">ime </w:t>
      </w:r>
      <w:r w:rsidR="004303E0">
        <w:t>S</w:t>
      </w:r>
      <w:r w:rsidR="002B6B76">
        <w:t>eries</w:t>
      </w:r>
      <w:r w:rsidR="004303E0">
        <w:t xml:space="preserve">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430"/>
        <w:gridCol w:w="1980"/>
        <w:gridCol w:w="1975"/>
      </w:tblGrid>
      <w:tr w:rsidR="00634DE9" w14:paraId="0512FA9F" w14:textId="77777777" w:rsidTr="00FF296C">
        <w:tc>
          <w:tcPr>
            <w:tcW w:w="2965" w:type="dxa"/>
          </w:tcPr>
          <w:p w14:paraId="672CDBDB" w14:textId="5E2F71AB" w:rsidR="00634DE9" w:rsidRPr="00D13F13" w:rsidRDefault="00634DE9" w:rsidP="004C5CBE">
            <w:pPr>
              <w:jc w:val="center"/>
              <w:rPr>
                <w:b/>
                <w:bCs/>
              </w:rPr>
            </w:pPr>
            <w:r w:rsidRPr="00D13F13">
              <w:rPr>
                <w:b/>
                <w:bCs/>
              </w:rPr>
              <w:t>Factor</w:t>
            </w:r>
          </w:p>
        </w:tc>
        <w:tc>
          <w:tcPr>
            <w:tcW w:w="2430" w:type="dxa"/>
          </w:tcPr>
          <w:p w14:paraId="3EFB561F" w14:textId="1C06EB78" w:rsidR="00634DE9" w:rsidRPr="00D13F13" w:rsidRDefault="00207544" w:rsidP="004C5CBE">
            <w:pPr>
              <w:jc w:val="center"/>
              <w:rPr>
                <w:b/>
                <w:bCs/>
              </w:rPr>
            </w:pPr>
            <w:r w:rsidRPr="00D13F13">
              <w:rPr>
                <w:b/>
                <w:bCs/>
              </w:rPr>
              <w:t>Roots</w:t>
            </w:r>
          </w:p>
        </w:tc>
        <w:tc>
          <w:tcPr>
            <w:tcW w:w="1980" w:type="dxa"/>
          </w:tcPr>
          <w:p w14:paraId="4B23BCE0" w14:textId="5052544B" w:rsidR="00634DE9" w:rsidRPr="00D13F13" w:rsidRDefault="00207544" w:rsidP="004C5CBE">
            <w:pPr>
              <w:jc w:val="center"/>
              <w:rPr>
                <w:b/>
                <w:bCs/>
              </w:rPr>
            </w:pPr>
            <w:r w:rsidRPr="00D13F13">
              <w:rPr>
                <w:b/>
                <w:bCs/>
              </w:rPr>
              <w:t>Abs Recip</w:t>
            </w:r>
            <w:r w:rsidR="00CB7DF5">
              <w:rPr>
                <w:b/>
                <w:bCs/>
              </w:rPr>
              <w:t>.</w:t>
            </w:r>
          </w:p>
        </w:tc>
        <w:tc>
          <w:tcPr>
            <w:tcW w:w="1975" w:type="dxa"/>
          </w:tcPr>
          <w:p w14:paraId="3511C082" w14:textId="36D0F253" w:rsidR="00634DE9" w:rsidRPr="00D13F13" w:rsidRDefault="00207544" w:rsidP="004C5CBE">
            <w:pPr>
              <w:jc w:val="center"/>
              <w:rPr>
                <w:b/>
                <w:bCs/>
              </w:rPr>
            </w:pPr>
            <w:r w:rsidRPr="00D13F13">
              <w:rPr>
                <w:b/>
                <w:bCs/>
              </w:rPr>
              <w:t>Freq</w:t>
            </w:r>
            <w:r w:rsidR="007178C4">
              <w:rPr>
                <w:b/>
                <w:bCs/>
              </w:rPr>
              <w:t>.</w:t>
            </w:r>
          </w:p>
        </w:tc>
      </w:tr>
      <w:tr w:rsidR="00B11247" w14:paraId="610AAFEB" w14:textId="77777777" w:rsidTr="00FF296C">
        <w:tc>
          <w:tcPr>
            <w:tcW w:w="2965" w:type="dxa"/>
          </w:tcPr>
          <w:p w14:paraId="44254C80" w14:textId="1D88D3A7" w:rsidR="00B11247" w:rsidRDefault="00B11247" w:rsidP="00B1124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1+0.4086B+0.8957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30" w:type="dxa"/>
          </w:tcPr>
          <w:p w14:paraId="65F4A0D1" w14:textId="4DAB0260" w:rsidR="00B11247" w:rsidRDefault="00B11247" w:rsidP="00B11247">
            <m:oMathPara>
              <m:oMath>
                <m:r>
                  <w:rPr>
                    <w:rFonts w:ascii="Cambria Math" w:hAnsi="Cambria Math"/>
                  </w:rPr>
                  <m:t>-0.2281-1.0317i</m:t>
                </m:r>
              </m:oMath>
            </m:oMathPara>
          </w:p>
        </w:tc>
        <w:tc>
          <w:tcPr>
            <w:tcW w:w="1980" w:type="dxa"/>
          </w:tcPr>
          <w:p w14:paraId="74CA555A" w14:textId="427F976D" w:rsidR="00B11247" w:rsidRDefault="00B11247" w:rsidP="00B11247">
            <m:oMathPara>
              <m:oMath>
                <m:r>
                  <w:rPr>
                    <w:rFonts w:ascii="Cambria Math" w:hAnsi="Cambria Math"/>
                  </w:rPr>
                  <m:t>0.9464</m:t>
                </m:r>
              </m:oMath>
            </m:oMathPara>
          </w:p>
        </w:tc>
        <w:tc>
          <w:tcPr>
            <w:tcW w:w="1975" w:type="dxa"/>
          </w:tcPr>
          <w:p w14:paraId="11395F53" w14:textId="052BC8C9" w:rsidR="00B11247" w:rsidRDefault="00B11247" w:rsidP="00B11247">
            <m:oMathPara>
              <m:oMath>
                <m:r>
                  <w:rPr>
                    <w:rFonts w:ascii="Cambria Math" w:hAnsi="Cambria Math"/>
                  </w:rPr>
                  <m:t>0.2846</m:t>
                </m:r>
              </m:oMath>
            </m:oMathPara>
          </w:p>
        </w:tc>
      </w:tr>
      <w:tr w:rsidR="00B11247" w14:paraId="28D34659" w14:textId="77777777" w:rsidTr="00FF296C">
        <w:tc>
          <w:tcPr>
            <w:tcW w:w="2965" w:type="dxa"/>
          </w:tcPr>
          <w:p w14:paraId="720BB01F" w14:textId="725E6DF8" w:rsidR="00B11247" w:rsidRDefault="00B11247" w:rsidP="00B1124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1+1.3233B+0.8472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30" w:type="dxa"/>
          </w:tcPr>
          <w:p w14:paraId="457088BA" w14:textId="371E4E63" w:rsidR="00B11247" w:rsidRDefault="00B11247" w:rsidP="00B11247">
            <m:oMathPara>
              <m:oMath>
                <m:r>
                  <w:rPr>
                    <w:rFonts w:ascii="Cambria Math" w:hAnsi="Cambria Math"/>
                  </w:rPr>
                  <m:t>-0.781-0.7553i</m:t>
                </m:r>
              </m:oMath>
            </m:oMathPara>
          </w:p>
        </w:tc>
        <w:tc>
          <w:tcPr>
            <w:tcW w:w="1980" w:type="dxa"/>
          </w:tcPr>
          <w:p w14:paraId="093A1DF7" w14:textId="51C3368A" w:rsidR="00B11247" w:rsidRDefault="00B11247" w:rsidP="00B11247">
            <m:oMathPara>
              <m:oMath>
                <m:r>
                  <w:rPr>
                    <w:rFonts w:ascii="Cambria Math" w:hAnsi="Cambria Math"/>
                  </w:rPr>
                  <m:t>0.9204</m:t>
                </m:r>
              </m:oMath>
            </m:oMathPara>
          </w:p>
        </w:tc>
        <w:tc>
          <w:tcPr>
            <w:tcW w:w="1975" w:type="dxa"/>
          </w:tcPr>
          <w:p w14:paraId="159C50C5" w14:textId="4E2E588D" w:rsidR="00B11247" w:rsidRDefault="00B11247" w:rsidP="00B11247">
            <m:oMathPara>
              <m:oMath>
                <m:r>
                  <w:rPr>
                    <w:rFonts w:ascii="Cambria Math" w:hAnsi="Cambria Math"/>
                  </w:rPr>
                  <m:t>0.3777</m:t>
                </m:r>
              </m:oMath>
            </m:oMathPara>
          </w:p>
        </w:tc>
      </w:tr>
      <w:tr w:rsidR="00B11247" w14:paraId="14B33FA2" w14:textId="77777777" w:rsidTr="00FF296C">
        <w:tc>
          <w:tcPr>
            <w:tcW w:w="2965" w:type="dxa"/>
          </w:tcPr>
          <w:p w14:paraId="4C3E8153" w14:textId="76F2CA49" w:rsidR="00B11247" w:rsidRDefault="00B11247" w:rsidP="00B1124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1-1.3621B+0.8048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30" w:type="dxa"/>
          </w:tcPr>
          <w:p w14:paraId="14F42173" w14:textId="4AABF1D3" w:rsidR="00B11247" w:rsidRDefault="00B11247" w:rsidP="00B11247">
            <m:oMathPara>
              <m:oMath>
                <m:r>
                  <w:rPr>
                    <w:rFonts w:ascii="Cambria Math" w:hAnsi="Cambria Math"/>
                  </w:rPr>
                  <m:t>0.8462-0.7256i</m:t>
                </m:r>
              </m:oMath>
            </m:oMathPara>
          </w:p>
        </w:tc>
        <w:tc>
          <w:tcPr>
            <w:tcW w:w="1980" w:type="dxa"/>
          </w:tcPr>
          <w:p w14:paraId="74B3F983" w14:textId="2753D106" w:rsidR="00B11247" w:rsidRDefault="00B11247" w:rsidP="00B11247">
            <m:oMathPara>
              <m:oMath>
                <m:r>
                  <w:rPr>
                    <w:rFonts w:ascii="Cambria Math" w:hAnsi="Cambria Math"/>
                  </w:rPr>
                  <m:t>0.8971</m:t>
                </m:r>
              </m:oMath>
            </m:oMathPara>
          </w:p>
        </w:tc>
        <w:tc>
          <w:tcPr>
            <w:tcW w:w="1975" w:type="dxa"/>
          </w:tcPr>
          <w:p w14:paraId="37781465" w14:textId="76C6D6EC" w:rsidR="00B11247" w:rsidRDefault="00B11247" w:rsidP="00B11247">
            <m:oMathPara>
              <m:oMath>
                <m:r>
                  <w:rPr>
                    <w:rFonts w:ascii="Cambria Math" w:hAnsi="Cambria Math"/>
                  </w:rPr>
                  <m:t>0.1128</m:t>
                </m:r>
              </m:oMath>
            </m:oMathPara>
          </w:p>
        </w:tc>
      </w:tr>
      <w:tr w:rsidR="00B11247" w14:paraId="2A577009" w14:textId="77777777" w:rsidTr="00FF296C">
        <w:tc>
          <w:tcPr>
            <w:tcW w:w="2965" w:type="dxa"/>
          </w:tcPr>
          <w:p w14:paraId="3B9CF4A1" w14:textId="678CFD13" w:rsidR="00B11247" w:rsidRDefault="00B11247" w:rsidP="00B1124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1-1.6715B+8008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30" w:type="dxa"/>
          </w:tcPr>
          <w:p w14:paraId="0F61A8F8" w14:textId="1EE8D02E" w:rsidR="00B11247" w:rsidRDefault="00B11247" w:rsidP="00B11247">
            <m:oMathPara>
              <m:oMath>
                <m:r>
                  <w:rPr>
                    <w:rFonts w:ascii="Cambria Math" w:hAnsi="Cambria Math"/>
                  </w:rPr>
                  <m:t>1.0436-0.3995i</m:t>
                </m:r>
              </m:oMath>
            </m:oMathPara>
          </w:p>
        </w:tc>
        <w:tc>
          <w:tcPr>
            <w:tcW w:w="1980" w:type="dxa"/>
          </w:tcPr>
          <w:p w14:paraId="309BFBD3" w14:textId="4E6D4D80" w:rsidR="00B11247" w:rsidRDefault="00B11247" w:rsidP="00B11247">
            <m:oMathPara>
              <m:oMath>
                <m:r>
                  <w:rPr>
                    <w:rFonts w:ascii="Cambria Math" w:hAnsi="Cambria Math"/>
                  </w:rPr>
                  <m:t>0.8949</m:t>
                </m:r>
              </m:oMath>
            </m:oMathPara>
          </w:p>
        </w:tc>
        <w:tc>
          <w:tcPr>
            <w:tcW w:w="1975" w:type="dxa"/>
          </w:tcPr>
          <w:p w14:paraId="6B189D4C" w14:textId="09C50379" w:rsidR="00B11247" w:rsidRDefault="00B11247" w:rsidP="00B11247">
            <m:oMathPara>
              <m:oMath>
                <m:r>
                  <w:rPr>
                    <w:rFonts w:ascii="Cambria Math" w:hAnsi="Cambria Math"/>
                  </w:rPr>
                  <m:t>0.0582</m:t>
                </m:r>
              </m:oMath>
            </m:oMathPara>
          </w:p>
        </w:tc>
      </w:tr>
      <w:tr w:rsidR="00B11247" w14:paraId="1C903111" w14:textId="77777777" w:rsidTr="00FF296C">
        <w:tc>
          <w:tcPr>
            <w:tcW w:w="2965" w:type="dxa"/>
          </w:tcPr>
          <w:p w14:paraId="7771D3D2" w14:textId="1209EEFF" w:rsidR="00B11247" w:rsidRDefault="00B11247" w:rsidP="00B1124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1-1.7708B+0.7894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30" w:type="dxa"/>
          </w:tcPr>
          <w:p w14:paraId="64D81539" w14:textId="5C7319F1" w:rsidR="00B11247" w:rsidRDefault="00B11247" w:rsidP="00B11247">
            <m:oMathPara>
              <m:oMath>
                <m:r>
                  <w:rPr>
                    <w:rFonts w:ascii="Cambria Math" w:hAnsi="Cambria Math"/>
                  </w:rPr>
                  <m:t>1.1216-0.0941i</m:t>
                </m:r>
              </m:oMath>
            </m:oMathPara>
          </w:p>
        </w:tc>
        <w:tc>
          <w:tcPr>
            <w:tcW w:w="1980" w:type="dxa"/>
          </w:tcPr>
          <w:p w14:paraId="50B32850" w14:textId="6502C13D" w:rsidR="00B11247" w:rsidRDefault="00B11247" w:rsidP="00B11247">
            <m:oMathPara>
              <m:oMath>
                <m:r>
                  <w:rPr>
                    <w:rFonts w:ascii="Cambria Math" w:hAnsi="Cambria Math"/>
                  </w:rPr>
                  <m:t>0.8885</m:t>
                </m:r>
              </m:oMath>
            </m:oMathPara>
          </w:p>
        </w:tc>
        <w:tc>
          <w:tcPr>
            <w:tcW w:w="1975" w:type="dxa"/>
          </w:tcPr>
          <w:p w14:paraId="041E6187" w14:textId="1D5E7A4A" w:rsidR="00B11247" w:rsidRDefault="00B11247" w:rsidP="00B11247">
            <m:oMathPara>
              <m:oMath>
                <m:r>
                  <w:rPr>
                    <w:rFonts w:ascii="Cambria Math" w:hAnsi="Cambria Math"/>
                  </w:rPr>
                  <m:t>0.0133</m:t>
                </m:r>
              </m:oMath>
            </m:oMathPara>
          </w:p>
        </w:tc>
      </w:tr>
      <w:tr w:rsidR="00B11247" w14:paraId="75BF4235" w14:textId="77777777" w:rsidTr="00FF296C">
        <w:tc>
          <w:tcPr>
            <w:tcW w:w="2965" w:type="dxa"/>
          </w:tcPr>
          <w:p w14:paraId="62B7156B" w14:textId="27DC7C8C" w:rsidR="00B11247" w:rsidRDefault="00B11247" w:rsidP="00B1124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1-0.3515B+0.7852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30" w:type="dxa"/>
          </w:tcPr>
          <w:p w14:paraId="24BD8536" w14:textId="2F75D9AC" w:rsidR="00B11247" w:rsidRDefault="00B11247" w:rsidP="00B11247">
            <m:oMathPara>
              <m:oMath>
                <m:r>
                  <w:rPr>
                    <w:rFonts w:ascii="Cambria Math" w:hAnsi="Cambria Math"/>
                  </w:rPr>
                  <m:t>0.2238-1.1061i</m:t>
                </m:r>
              </m:oMath>
            </m:oMathPara>
          </w:p>
        </w:tc>
        <w:tc>
          <w:tcPr>
            <w:tcW w:w="1980" w:type="dxa"/>
          </w:tcPr>
          <w:p w14:paraId="15AC2C35" w14:textId="2BECE6DF" w:rsidR="00B11247" w:rsidRDefault="00B11247" w:rsidP="00B11247">
            <m:oMathPara>
              <m:oMath>
                <m:r>
                  <w:rPr>
                    <w:rFonts w:ascii="Cambria Math" w:hAnsi="Cambria Math"/>
                  </w:rPr>
                  <m:t>0.8861</m:t>
                </m:r>
              </m:oMath>
            </m:oMathPara>
          </w:p>
        </w:tc>
        <w:tc>
          <w:tcPr>
            <w:tcW w:w="1975" w:type="dxa"/>
          </w:tcPr>
          <w:p w14:paraId="09289A97" w14:textId="453E90A7" w:rsidR="00B11247" w:rsidRDefault="00B11247" w:rsidP="00B11247">
            <m:oMathPara>
              <m:oMath>
                <m:r>
                  <w:rPr>
                    <w:rFonts w:ascii="Cambria Math" w:hAnsi="Cambria Math"/>
                  </w:rPr>
                  <m:t>0.2182</m:t>
                </m:r>
              </m:oMath>
            </m:oMathPara>
          </w:p>
        </w:tc>
      </w:tr>
      <w:tr w:rsidR="00B11247" w14:paraId="2F362DCA" w14:textId="77777777" w:rsidTr="00FF296C">
        <w:tc>
          <w:tcPr>
            <w:tcW w:w="2965" w:type="dxa"/>
          </w:tcPr>
          <w:p w14:paraId="455BE3AA" w14:textId="2E068A5F" w:rsidR="00B11247" w:rsidRDefault="00B11247" w:rsidP="00B1124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1+1.4623B+0.5446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30" w:type="dxa"/>
          </w:tcPr>
          <w:p w14:paraId="7139C6B3" w14:textId="572C65BD" w:rsidR="00B11247" w:rsidRDefault="00B11247" w:rsidP="00B11247">
            <m:oMathPara>
              <m:oMath>
                <m:r>
                  <w:rPr>
                    <w:rFonts w:ascii="Cambria Math" w:hAnsi="Cambria Math"/>
                  </w:rPr>
                  <m:t>-1.3427-0.1834i</m:t>
                </m:r>
              </m:oMath>
            </m:oMathPara>
          </w:p>
        </w:tc>
        <w:tc>
          <w:tcPr>
            <w:tcW w:w="1980" w:type="dxa"/>
          </w:tcPr>
          <w:p w14:paraId="5088A7FA" w14:textId="73995558" w:rsidR="00B11247" w:rsidRDefault="00B11247" w:rsidP="00B11247">
            <m:oMathPara>
              <m:oMath>
                <m:r>
                  <w:rPr>
                    <w:rFonts w:ascii="Cambria Math" w:hAnsi="Cambria Math"/>
                  </w:rPr>
                  <m:t>0.7379</m:t>
                </m:r>
              </m:oMath>
            </m:oMathPara>
          </w:p>
        </w:tc>
        <w:tc>
          <w:tcPr>
            <w:tcW w:w="1975" w:type="dxa"/>
          </w:tcPr>
          <w:p w14:paraId="25A111D7" w14:textId="1C0CDE50" w:rsidR="00B11247" w:rsidRDefault="00B11247" w:rsidP="00B11247">
            <m:oMathPara>
              <m:oMath>
                <m:r>
                  <w:rPr>
                    <w:rFonts w:ascii="Cambria Math" w:hAnsi="Cambria Math"/>
                  </w:rPr>
                  <m:t>0.4784</m:t>
                </m:r>
              </m:oMath>
            </m:oMathPara>
          </w:p>
        </w:tc>
      </w:tr>
      <w:tr w:rsidR="00B11247" w14:paraId="5FD2F956" w14:textId="77777777" w:rsidTr="00FF296C">
        <w:tc>
          <w:tcPr>
            <w:tcW w:w="2965" w:type="dxa"/>
          </w:tcPr>
          <w:p w14:paraId="4C875933" w14:textId="7CDDF2DA" w:rsidR="00B11247" w:rsidRDefault="00B11247" w:rsidP="00B1124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1+0.5505B</m:t>
                </m:r>
              </m:oMath>
            </m:oMathPara>
          </w:p>
        </w:tc>
        <w:tc>
          <w:tcPr>
            <w:tcW w:w="2430" w:type="dxa"/>
          </w:tcPr>
          <w:p w14:paraId="7F75E9EB" w14:textId="6FCA39B4" w:rsidR="00B11247" w:rsidRDefault="00B11247" w:rsidP="00B11247">
            <m:oMathPara>
              <m:oMath>
                <m:r>
                  <w:rPr>
                    <w:rFonts w:ascii="Cambria Math" w:hAnsi="Cambria Math"/>
                  </w:rPr>
                  <m:t>-1.8166</m:t>
                </m:r>
              </m:oMath>
            </m:oMathPara>
          </w:p>
        </w:tc>
        <w:tc>
          <w:tcPr>
            <w:tcW w:w="1980" w:type="dxa"/>
          </w:tcPr>
          <w:p w14:paraId="699BC7E4" w14:textId="427CFF17" w:rsidR="00B11247" w:rsidRDefault="00B11247" w:rsidP="00B11247">
            <m:oMathPara>
              <m:oMath>
                <m:r>
                  <w:rPr>
                    <w:rFonts w:ascii="Cambria Math" w:hAnsi="Cambria Math"/>
                  </w:rPr>
                  <m:t>0.5505</m:t>
                </m:r>
              </m:oMath>
            </m:oMathPara>
          </w:p>
        </w:tc>
        <w:tc>
          <w:tcPr>
            <w:tcW w:w="1975" w:type="dxa"/>
          </w:tcPr>
          <w:p w14:paraId="185068D9" w14:textId="6F7AD110" w:rsidR="00B11247" w:rsidRDefault="00B11247" w:rsidP="00B11247">
            <m:oMathPara>
              <m:oMath>
                <m:r>
                  <w:rPr>
                    <w:rFonts w:ascii="Cambria Math" w:hAnsi="Cambria Math"/>
                  </w:rPr>
                  <m:t>0.5000</m:t>
                </m:r>
              </m:oMath>
            </m:oMathPara>
          </w:p>
        </w:tc>
      </w:tr>
    </w:tbl>
    <w:p w14:paraId="3887349F" w14:textId="2080DDF7" w:rsidR="00B47489" w:rsidRDefault="00B47489" w:rsidP="00DF5951"/>
    <w:p w14:paraId="0AD00F1F" w14:textId="0E450240" w:rsidR="00C35A4A" w:rsidRDefault="00CD1339" w:rsidP="00F3659C">
      <w:pPr>
        <w:ind w:firstLine="720"/>
        <w:rPr>
          <w:rFonts w:eastAsiaTheme="minorEastAsia" w:cstheme="minorHAnsi"/>
        </w:rPr>
      </w:pPr>
      <w:r>
        <w:rPr>
          <w:rFonts w:eastAsiaTheme="minorEastAsia" w:cstheme="minorHAnsi"/>
        </w:rPr>
        <w:t>We can see from the factor table above that</w:t>
      </w:r>
      <w:r w:rsidR="003927E8">
        <w:rPr>
          <w:rFonts w:eastAsiaTheme="minorEastAsia" w:cstheme="minorHAnsi"/>
        </w:rPr>
        <w:t xml:space="preserve"> </w:t>
      </w:r>
      <w:r w:rsidR="00EE25F0">
        <w:rPr>
          <w:rFonts w:eastAsiaTheme="minorEastAsia" w:cstheme="minorHAnsi"/>
        </w:rPr>
        <w:t>the</w:t>
      </w:r>
      <w:r w:rsidRPr="000A4275">
        <w:rPr>
          <w:rFonts w:eastAsiaTheme="minorEastAsia" w:cstheme="minorHAnsi"/>
        </w:rPr>
        <w:t xml:space="preserve"> model </w:t>
      </w:r>
      <w:r w:rsidR="00AF57B1">
        <w:rPr>
          <w:rFonts w:eastAsiaTheme="minorEastAsia" w:cstheme="minorHAnsi"/>
        </w:rPr>
        <w:t>is</w:t>
      </w:r>
      <w:r w:rsidRPr="000A4275">
        <w:rPr>
          <w:rFonts w:eastAsiaTheme="minorEastAsia" w:cstheme="minorHAnsi"/>
        </w:rPr>
        <w:t xml:space="preserve"> stationary since the </w:t>
      </w:r>
      <w:r w:rsidR="00EC64FB">
        <w:rPr>
          <w:rFonts w:eastAsiaTheme="minorEastAsia" w:cstheme="minorHAnsi"/>
        </w:rPr>
        <w:t xml:space="preserve">absolute </w:t>
      </w:r>
      <w:r w:rsidR="00D57BC9">
        <w:rPr>
          <w:rFonts w:eastAsiaTheme="minorEastAsia" w:cstheme="minorHAnsi"/>
        </w:rPr>
        <w:t>reciprocal</w:t>
      </w:r>
      <w:r w:rsidRPr="000A4275">
        <w:rPr>
          <w:rFonts w:eastAsiaTheme="minorEastAsia" w:cstheme="minorHAnsi"/>
        </w:rPr>
        <w:t xml:space="preserve"> root</w:t>
      </w:r>
      <w:r w:rsidR="00157E99">
        <w:rPr>
          <w:rFonts w:eastAsiaTheme="minorEastAsia" w:cstheme="minorHAnsi"/>
        </w:rPr>
        <w:t xml:space="preserve"> values for </w:t>
      </w:r>
      <w:r w:rsidR="005452FC">
        <w:rPr>
          <w:rFonts w:eastAsiaTheme="minorEastAsia" w:cstheme="minorHAnsi"/>
        </w:rPr>
        <w:t>its</w:t>
      </w:r>
      <w:r w:rsidR="00157E99">
        <w:rPr>
          <w:rFonts w:eastAsiaTheme="minorEastAsia" w:cstheme="minorHAnsi"/>
        </w:rPr>
        <w:t xml:space="preserve"> complex roots</w:t>
      </w:r>
      <w:r w:rsidR="00C101EF">
        <w:rPr>
          <w:rFonts w:eastAsiaTheme="minorEastAsia" w:cstheme="minorHAnsi"/>
        </w:rPr>
        <w:t xml:space="preserve"> </w:t>
      </w:r>
      <w:r w:rsidRPr="000A4275">
        <w:rPr>
          <w:rFonts w:eastAsiaTheme="minorEastAsia" w:cstheme="minorHAnsi"/>
        </w:rPr>
        <w:t xml:space="preserve">are </w:t>
      </w:r>
      <w:r w:rsidR="00895D21">
        <w:rPr>
          <w:rFonts w:eastAsiaTheme="minorEastAsia" w:cstheme="minorHAnsi"/>
        </w:rPr>
        <w:t>less</w:t>
      </w:r>
      <w:r w:rsidRPr="000A4275">
        <w:rPr>
          <w:rFonts w:eastAsiaTheme="minorEastAsia" w:cstheme="minorHAnsi"/>
        </w:rPr>
        <w:t xml:space="preserve"> than one</w:t>
      </w:r>
      <w:r w:rsidR="000B5E58">
        <w:rPr>
          <w:rFonts w:eastAsiaTheme="minorEastAsia" w:cstheme="minorHAnsi"/>
        </w:rPr>
        <w:t xml:space="preserve"> and </w:t>
      </w:r>
      <w:r w:rsidR="004E2F2A">
        <w:rPr>
          <w:rFonts w:eastAsiaTheme="minorEastAsia" w:cstheme="minorHAnsi"/>
        </w:rPr>
        <w:t xml:space="preserve">the absolute value </w:t>
      </w:r>
      <w:r w:rsidR="00D85D68">
        <w:rPr>
          <w:rFonts w:eastAsiaTheme="minorEastAsia" w:cstheme="minorHAnsi"/>
        </w:rPr>
        <w:t>for</w:t>
      </w:r>
      <w:r w:rsidR="004E2F2A">
        <w:rPr>
          <w:rFonts w:eastAsiaTheme="minorEastAsia" w:cstheme="minorHAnsi"/>
        </w:rPr>
        <w:t xml:space="preserve"> </w:t>
      </w:r>
      <w:r w:rsidR="000B5E58">
        <w:rPr>
          <w:rFonts w:eastAsiaTheme="minorEastAsia" w:cstheme="minorHAnsi"/>
        </w:rPr>
        <w:t>its real root is</w:t>
      </w:r>
      <w:r w:rsidR="008978FC">
        <w:rPr>
          <w:rFonts w:eastAsiaTheme="minorEastAsia" w:cstheme="minorHAnsi"/>
        </w:rPr>
        <w:t xml:space="preserve"> greater than one</w:t>
      </w:r>
      <w:r w:rsidR="00255BE3">
        <w:rPr>
          <w:rFonts w:eastAsiaTheme="minorEastAsia" w:cstheme="minorHAnsi"/>
        </w:rPr>
        <w:t>. T</w:t>
      </w:r>
      <w:r w:rsidR="00D91B62" w:rsidRPr="000A4275">
        <w:rPr>
          <w:rFonts w:eastAsiaTheme="minorEastAsia" w:cstheme="minorHAnsi"/>
        </w:rPr>
        <w:t xml:space="preserve">he realization demonstrates behavior that’s associated with the root </w:t>
      </w:r>
      <w:r w:rsidR="00D91B62" w:rsidRPr="000A4275">
        <w:rPr>
          <w:rFonts w:eastAsiaTheme="minorEastAsia" w:cstheme="minorHAnsi"/>
        </w:rPr>
        <w:lastRenderedPageBreak/>
        <w:t xml:space="preserve">that’s </w:t>
      </w:r>
      <w:r w:rsidR="006542B2">
        <w:rPr>
          <w:rFonts w:eastAsiaTheme="minorEastAsia" w:cstheme="minorHAnsi"/>
        </w:rPr>
        <w:t>the closest</w:t>
      </w:r>
      <w:r w:rsidR="00D91B62" w:rsidRPr="000A4275">
        <w:rPr>
          <w:rFonts w:eastAsiaTheme="minorEastAsia" w:cstheme="minorHAnsi"/>
        </w:rPr>
        <w:t xml:space="preserve"> to the unit circle</w:t>
      </w:r>
      <w:r w:rsidR="00B257DF">
        <w:rPr>
          <w:rFonts w:eastAsiaTheme="minorEastAsia" w:cstheme="minorHAnsi"/>
        </w:rPr>
        <w:t>, and t</w:t>
      </w:r>
      <w:r w:rsidR="00C65CE2">
        <w:rPr>
          <w:rFonts w:eastAsiaTheme="minorEastAsia" w:cstheme="minorHAnsi"/>
        </w:rPr>
        <w:t xml:space="preserve">he spectral density plot also </w:t>
      </w:r>
      <w:r w:rsidR="00C65CE2" w:rsidRPr="000A4275">
        <w:rPr>
          <w:rFonts w:eastAsiaTheme="minorEastAsia" w:cstheme="minorHAnsi"/>
        </w:rPr>
        <w:t xml:space="preserve">shows a frequency at or near </w:t>
      </w:r>
      <m:oMath>
        <m:r>
          <w:rPr>
            <w:rFonts w:ascii="Cambria Math" w:hAnsi="Cambria Math" w:cstheme="minorHAnsi"/>
          </w:rPr>
          <m:t>f=0</m:t>
        </m:r>
      </m:oMath>
      <w:r w:rsidR="00C65CE2" w:rsidRPr="000A4275">
        <w:rPr>
          <w:rFonts w:eastAsiaTheme="minorEastAsia" w:cstheme="minorHAnsi"/>
        </w:rPr>
        <w:t xml:space="preserve"> since </w:t>
      </w:r>
      <w:r w:rsidR="00ED03E4">
        <w:rPr>
          <w:rFonts w:eastAsiaTheme="minorEastAsia" w:cstheme="minorHAnsi"/>
        </w:rPr>
        <w:t>the strongest root</w:t>
      </w:r>
      <w:r w:rsidR="00A640B7">
        <w:rPr>
          <w:rFonts w:eastAsiaTheme="minorEastAsia" w:cstheme="minorHAnsi"/>
        </w:rPr>
        <w:t>’s</w:t>
      </w:r>
      <w:r w:rsidR="00ED03E4">
        <w:rPr>
          <w:rFonts w:eastAsiaTheme="minorEastAsia" w:cstheme="minorHAnsi"/>
        </w:rPr>
        <w:t xml:space="preserve"> </w:t>
      </w:r>
      <w:r w:rsidR="00A667FA">
        <w:rPr>
          <w:rFonts w:eastAsiaTheme="minorEastAsia" w:cstheme="minorHAnsi"/>
        </w:rPr>
        <w:t>rather</w:t>
      </w:r>
      <w:r w:rsidR="00C65CE2" w:rsidRPr="000A4275">
        <w:rPr>
          <w:rFonts w:eastAsiaTheme="minorEastAsia" w:cstheme="minorHAnsi"/>
        </w:rPr>
        <w:t xml:space="preserve"> close to the unit circle.</w:t>
      </w:r>
    </w:p>
    <w:p w14:paraId="08740FF8" w14:textId="679551D7" w:rsidR="009C0E77" w:rsidRDefault="009C0E77" w:rsidP="00F3659C">
      <w:pPr>
        <w:ind w:firstLine="720"/>
        <w:rPr>
          <w:rFonts w:eastAsiaTheme="minorEastAsia" w:cstheme="minorHAnsi"/>
        </w:rPr>
      </w:pPr>
    </w:p>
    <w:p w14:paraId="6671A083" w14:textId="44D6B034" w:rsidR="009C0E77" w:rsidRDefault="00521B1A" w:rsidP="00F3659C">
      <w:pPr>
        <w:ind w:firstLine="720"/>
        <w:rPr>
          <w:rFonts w:eastAsiaTheme="minorEastAsia" w:cstheme="minorHAnsi"/>
          <w:lang w:eastAsia="en-IN"/>
        </w:rPr>
      </w:pPr>
      <w:r>
        <w:rPr>
          <w:rFonts w:eastAsiaTheme="minorEastAsia" w:cstheme="minorHAnsi"/>
        </w:rPr>
        <w:t xml:space="preserve">Next, </w:t>
      </w:r>
      <w:r w:rsidR="0057540F">
        <w:rPr>
          <w:rFonts w:eastAsiaTheme="minorEastAsia" w:cstheme="minorHAnsi"/>
        </w:rPr>
        <w:t xml:space="preserve">since the data seems to show </w:t>
      </w:r>
      <w:r w:rsidR="00FA3BCD">
        <w:rPr>
          <w:rFonts w:eastAsiaTheme="minorEastAsia" w:cstheme="minorHAnsi"/>
        </w:rPr>
        <w:t>both upward and downward linearly trending behavior, but especially upward</w:t>
      </w:r>
      <w:r w:rsidR="00793527">
        <w:rPr>
          <w:rFonts w:eastAsiaTheme="minorEastAsia" w:cstheme="minorHAnsi"/>
        </w:rPr>
        <w:t xml:space="preserve"> </w:t>
      </w:r>
      <w:r w:rsidR="005800B8">
        <w:rPr>
          <w:rFonts w:eastAsiaTheme="minorEastAsia" w:cstheme="minorHAnsi"/>
        </w:rPr>
        <w:t xml:space="preserve">trending </w:t>
      </w:r>
      <w:r w:rsidR="00793527">
        <w:rPr>
          <w:rFonts w:eastAsiaTheme="minorEastAsia" w:cstheme="minorHAnsi"/>
        </w:rPr>
        <w:t xml:space="preserve">behavior, </w:t>
      </w:r>
      <w:r w:rsidR="00DE579C">
        <w:rPr>
          <w:rFonts w:eastAsiaTheme="minorEastAsia" w:cstheme="minorHAnsi"/>
        </w:rPr>
        <w:t xml:space="preserve">the </w:t>
      </w:r>
      <w:r w:rsidR="00910FA2" w:rsidRPr="0099162D">
        <w:rPr>
          <w:rFonts w:eastAsiaTheme="minorEastAsia" w:cstheme="minorHAnsi"/>
        </w:rPr>
        <w:t>Cochrane-Orcutt</w:t>
      </w:r>
      <w:r w:rsidR="00D124F4">
        <w:rPr>
          <w:rFonts w:eastAsiaTheme="minorEastAsia" w:cstheme="minorHAnsi"/>
        </w:rPr>
        <w:t xml:space="preserve"> and </w:t>
      </w:r>
      <w:r w:rsidR="00D124F4" w:rsidRPr="00D124F4">
        <w:rPr>
          <w:rFonts w:eastAsiaTheme="minorEastAsia" w:cstheme="minorHAnsi"/>
        </w:rPr>
        <w:t>Woodward-Bottone-Gray</w:t>
      </w:r>
      <w:r w:rsidR="00910FA2" w:rsidRPr="0099162D">
        <w:rPr>
          <w:rFonts w:eastAsiaTheme="minorEastAsia" w:cstheme="minorHAnsi"/>
        </w:rPr>
        <w:t xml:space="preserve"> test</w:t>
      </w:r>
      <w:r w:rsidR="00D124F4">
        <w:rPr>
          <w:rFonts w:eastAsiaTheme="minorEastAsia" w:cstheme="minorHAnsi"/>
        </w:rPr>
        <w:t>s</w:t>
      </w:r>
      <w:r w:rsidR="00910FA2" w:rsidRPr="0099162D">
        <w:rPr>
          <w:rFonts w:eastAsiaTheme="minorEastAsia" w:cstheme="minorHAnsi"/>
        </w:rPr>
        <w:t xml:space="preserve"> </w:t>
      </w:r>
      <w:r w:rsidR="00CD5817">
        <w:rPr>
          <w:rFonts w:eastAsiaTheme="minorEastAsia" w:cstheme="minorHAnsi"/>
        </w:rPr>
        <w:t>were</w:t>
      </w:r>
      <w:r w:rsidR="00910FA2">
        <w:rPr>
          <w:rFonts w:eastAsiaTheme="minorEastAsia" w:cstheme="minorHAnsi"/>
        </w:rPr>
        <w:t xml:space="preserve"> utilized </w:t>
      </w:r>
      <w:r w:rsidR="00910FA2" w:rsidRPr="0099162D">
        <w:rPr>
          <w:rFonts w:eastAsiaTheme="minorEastAsia" w:cstheme="minorHAnsi"/>
        </w:rPr>
        <w:t xml:space="preserve">to </w:t>
      </w:r>
      <w:r w:rsidR="00E40A93">
        <w:rPr>
          <w:rFonts w:eastAsiaTheme="minorEastAsia" w:cstheme="minorHAnsi"/>
        </w:rPr>
        <w:t>assess</w:t>
      </w:r>
      <w:r w:rsidR="00910FA2" w:rsidRPr="0099162D">
        <w:rPr>
          <w:rFonts w:eastAsiaTheme="minorEastAsia" w:cstheme="minorHAnsi"/>
        </w:rPr>
        <w:t xml:space="preserve"> trend</w:t>
      </w:r>
      <w:r w:rsidR="001D6750">
        <w:rPr>
          <w:rFonts w:eastAsiaTheme="minorEastAsia" w:cstheme="minorHAnsi"/>
        </w:rPr>
        <w:t>s.</w:t>
      </w:r>
      <w:r w:rsidR="00CB5EEC">
        <w:rPr>
          <w:rFonts w:eastAsiaTheme="minorEastAsia" w:cstheme="minorHAnsi"/>
        </w:rPr>
        <w:t xml:space="preserve"> We obtain p-values</w:t>
      </w:r>
      <w:r w:rsidR="007D0A53">
        <w:rPr>
          <w:rFonts w:eastAsiaTheme="minorEastAsia" w:cstheme="minorHAnsi"/>
        </w:rPr>
        <w:t xml:space="preserve"> </w:t>
      </w:r>
      <w:r w:rsidR="007D0A53">
        <w:rPr>
          <w:rFonts w:cstheme="minorHAnsi"/>
          <w:lang w:eastAsia="en-IN"/>
        </w:rPr>
        <w:t>of</w:t>
      </w:r>
      <w:r w:rsidR="007D0A53" w:rsidRPr="00B64B7E">
        <w:rPr>
          <w:rFonts w:cstheme="minorHAnsi"/>
          <w:lang w:eastAsia="en-IN"/>
        </w:rPr>
        <w:t xml:space="preserve"> </w:t>
      </w:r>
      <m:oMath>
        <m:r>
          <w:rPr>
            <w:rFonts w:ascii="Cambria Math" w:hAnsi="Cambria Math" w:cstheme="minorHAnsi"/>
            <w:lang w:eastAsia="en-IN"/>
          </w:rPr>
          <m:t>p&lt;.001</m:t>
        </m:r>
      </m:oMath>
      <w:r w:rsidR="007D0A53">
        <w:rPr>
          <w:rFonts w:eastAsiaTheme="minorEastAsia" w:cstheme="minorHAnsi"/>
          <w:lang w:eastAsia="en-IN"/>
        </w:rPr>
        <w:t xml:space="preserve"> for CO and</w:t>
      </w:r>
      <w:r w:rsidR="005C763D">
        <w:rPr>
          <w:rFonts w:eastAsiaTheme="minorEastAsia" w:cstheme="minorHAnsi"/>
          <w:lang w:eastAsia="en-IN"/>
        </w:rPr>
        <w:t xml:space="preserve"> </w:t>
      </w:r>
      <m:oMath>
        <m:r>
          <w:rPr>
            <w:rFonts w:ascii="Cambria Math" w:hAnsi="Cambria Math" w:cstheme="minorHAnsi"/>
            <w:lang w:eastAsia="en-IN"/>
          </w:rPr>
          <m:t>p=0.018</m:t>
        </m:r>
      </m:oMath>
      <w:r w:rsidR="005C763D">
        <w:rPr>
          <w:rFonts w:eastAsiaTheme="minorEastAsia" w:cstheme="minorHAnsi"/>
          <w:lang w:eastAsia="en-IN"/>
        </w:rPr>
        <w:t xml:space="preserve"> for WBG</w:t>
      </w:r>
      <w:r w:rsidR="00B45103">
        <w:rPr>
          <w:rFonts w:eastAsiaTheme="minorEastAsia" w:cstheme="minorHAnsi"/>
          <w:lang w:eastAsia="en-IN"/>
        </w:rPr>
        <w:t xml:space="preserve">, </w:t>
      </w:r>
      <w:r w:rsidR="00A920E3" w:rsidRPr="00B64B7E">
        <w:rPr>
          <w:rFonts w:eastAsiaTheme="minorEastAsia" w:cstheme="minorHAnsi"/>
          <w:lang w:eastAsia="en-IN"/>
        </w:rPr>
        <w:t xml:space="preserve">which means that </w:t>
      </w:r>
      <w:r w:rsidR="001617DD">
        <w:rPr>
          <w:rFonts w:eastAsiaTheme="minorEastAsia" w:cstheme="minorHAnsi"/>
          <w:lang w:eastAsia="en-IN"/>
        </w:rPr>
        <w:t xml:space="preserve">both </w:t>
      </w:r>
      <w:r w:rsidR="00A920E3" w:rsidRPr="00B64B7E">
        <w:rPr>
          <w:rFonts w:eastAsiaTheme="minorEastAsia" w:cstheme="minorHAnsi"/>
          <w:lang w:eastAsia="en-IN"/>
        </w:rPr>
        <w:t>tes</w:t>
      </w:r>
      <w:r w:rsidR="001617DD">
        <w:rPr>
          <w:rFonts w:eastAsiaTheme="minorEastAsia" w:cstheme="minorHAnsi"/>
          <w:lang w:eastAsia="en-IN"/>
        </w:rPr>
        <w:t>ts</w:t>
      </w:r>
      <w:r w:rsidR="00A920E3" w:rsidRPr="00B64B7E">
        <w:rPr>
          <w:rFonts w:eastAsiaTheme="minorEastAsia" w:cstheme="minorHAnsi"/>
          <w:lang w:eastAsia="en-IN"/>
        </w:rPr>
        <w:t xml:space="preserve"> correctly identified underlying trends for the </w:t>
      </w:r>
      <w:r w:rsidR="00A920E3">
        <w:rPr>
          <w:rFonts w:eastAsiaTheme="minorEastAsia" w:cstheme="minorHAnsi"/>
          <w:lang w:eastAsia="en-IN"/>
        </w:rPr>
        <w:t>data</w:t>
      </w:r>
      <w:r w:rsidR="00963371">
        <w:rPr>
          <w:rFonts w:eastAsiaTheme="minorEastAsia" w:cstheme="minorHAnsi"/>
          <w:lang w:eastAsia="en-IN"/>
        </w:rPr>
        <w:t xml:space="preserve">. </w:t>
      </w:r>
      <w:r w:rsidR="00166218">
        <w:rPr>
          <w:rFonts w:eastAsiaTheme="minorEastAsia" w:cstheme="minorHAnsi"/>
          <w:lang w:eastAsia="en-IN"/>
        </w:rPr>
        <w:t xml:space="preserve">Thus, </w:t>
      </w:r>
      <w:r w:rsidR="001C0FC5">
        <w:rPr>
          <w:rFonts w:eastAsiaTheme="minorEastAsia" w:cstheme="minorHAnsi"/>
          <w:lang w:eastAsia="en-IN"/>
        </w:rPr>
        <w:t xml:space="preserve">competing </w:t>
      </w:r>
      <w:r w:rsidR="00C43C82">
        <w:rPr>
          <w:rFonts w:eastAsiaTheme="minorEastAsia" w:cstheme="minorHAnsi"/>
          <w:lang w:eastAsia="en-IN"/>
        </w:rPr>
        <w:t>m</w:t>
      </w:r>
      <w:r w:rsidR="00743FDC">
        <w:rPr>
          <w:rFonts w:eastAsiaTheme="minorEastAsia" w:cstheme="minorHAnsi"/>
          <w:lang w:eastAsia="en-IN"/>
        </w:rPr>
        <w:t>odels</w:t>
      </w:r>
      <w:r w:rsidR="00146F21">
        <w:rPr>
          <w:rFonts w:eastAsiaTheme="minorEastAsia" w:cstheme="minorHAnsi"/>
          <w:lang w:eastAsia="en-IN"/>
        </w:rPr>
        <w:t xml:space="preserve"> w</w:t>
      </w:r>
      <w:r w:rsidR="0064135C">
        <w:rPr>
          <w:rFonts w:eastAsiaTheme="minorEastAsia" w:cstheme="minorHAnsi"/>
          <w:lang w:eastAsia="en-IN"/>
        </w:rPr>
        <w:t>ere</w:t>
      </w:r>
      <w:r w:rsidR="00A84E7E">
        <w:rPr>
          <w:rFonts w:eastAsiaTheme="minorEastAsia" w:cstheme="minorHAnsi"/>
          <w:lang w:eastAsia="en-IN"/>
        </w:rPr>
        <w:t xml:space="preserve"> </w:t>
      </w:r>
      <w:r w:rsidR="00574FB2">
        <w:rPr>
          <w:rFonts w:eastAsiaTheme="minorEastAsia" w:cstheme="minorHAnsi"/>
          <w:lang w:eastAsia="en-IN"/>
        </w:rPr>
        <w:t xml:space="preserve">fit </w:t>
      </w:r>
      <w:r w:rsidR="00032787">
        <w:rPr>
          <w:rFonts w:eastAsiaTheme="minorEastAsia" w:cstheme="minorHAnsi"/>
          <w:lang w:eastAsia="en-IN"/>
        </w:rPr>
        <w:t>after</w:t>
      </w:r>
      <w:r w:rsidR="00F25A52">
        <w:rPr>
          <w:rFonts w:eastAsiaTheme="minorEastAsia" w:cstheme="minorHAnsi"/>
          <w:lang w:eastAsia="en-IN"/>
        </w:rPr>
        <w:t xml:space="preserve"> evaluating the</w:t>
      </w:r>
      <w:r w:rsidR="005135FF">
        <w:rPr>
          <w:rFonts w:eastAsiaTheme="minorEastAsia" w:cstheme="minorHAnsi"/>
          <w:lang w:eastAsia="en-IN"/>
        </w:rPr>
        <w:t xml:space="preserve"> above</w:t>
      </w:r>
      <w:r w:rsidR="00032787">
        <w:rPr>
          <w:rFonts w:eastAsiaTheme="minorEastAsia" w:cstheme="minorHAnsi"/>
          <w:lang w:eastAsia="en-IN"/>
        </w:rPr>
        <w:t xml:space="preserve"> </w:t>
      </w:r>
      <w:r w:rsidR="003D2517">
        <w:rPr>
          <w:rFonts w:eastAsiaTheme="minorEastAsia" w:cstheme="minorHAnsi"/>
          <w:lang w:eastAsia="en-IN"/>
        </w:rPr>
        <w:t>plot</w:t>
      </w:r>
      <w:r w:rsidR="00EC4949">
        <w:rPr>
          <w:rFonts w:eastAsiaTheme="minorEastAsia" w:cstheme="minorHAnsi"/>
          <w:lang w:eastAsia="en-IN"/>
        </w:rPr>
        <w:t>s</w:t>
      </w:r>
      <w:r w:rsidR="003D2517">
        <w:rPr>
          <w:rFonts w:eastAsiaTheme="minorEastAsia" w:cstheme="minorHAnsi"/>
          <w:lang w:eastAsia="en-IN"/>
        </w:rPr>
        <w:t>,</w:t>
      </w:r>
      <w:r w:rsidR="002B260F">
        <w:rPr>
          <w:rFonts w:eastAsiaTheme="minorEastAsia" w:cstheme="minorHAnsi"/>
          <w:lang w:eastAsia="en-IN"/>
        </w:rPr>
        <w:t xml:space="preserve"> factor tables, and </w:t>
      </w:r>
      <w:r w:rsidR="00B169EE">
        <w:rPr>
          <w:rFonts w:eastAsiaTheme="minorEastAsia" w:cstheme="minorHAnsi"/>
          <w:lang w:eastAsia="en-IN"/>
        </w:rPr>
        <w:t>behavioral</w:t>
      </w:r>
      <w:r w:rsidR="00CF7ABD">
        <w:rPr>
          <w:rFonts w:eastAsiaTheme="minorEastAsia" w:cstheme="minorHAnsi"/>
          <w:lang w:eastAsia="en-IN"/>
        </w:rPr>
        <w:t xml:space="preserve"> </w:t>
      </w:r>
      <w:r w:rsidR="00CD6F33">
        <w:rPr>
          <w:rFonts w:eastAsiaTheme="minorEastAsia" w:cstheme="minorHAnsi"/>
          <w:lang w:eastAsia="en-IN"/>
        </w:rPr>
        <w:t>trends</w:t>
      </w:r>
      <w:r w:rsidR="00110A39">
        <w:rPr>
          <w:rFonts w:eastAsiaTheme="minorEastAsia" w:cstheme="minorHAnsi"/>
          <w:lang w:eastAsia="en-IN"/>
        </w:rPr>
        <w:t xml:space="preserve"> of the data</w:t>
      </w:r>
      <w:r w:rsidR="00D66305">
        <w:rPr>
          <w:rFonts w:eastAsiaTheme="minorEastAsia" w:cstheme="minorHAnsi"/>
          <w:lang w:eastAsia="en-IN"/>
        </w:rPr>
        <w:t>, and results regarding th</w:t>
      </w:r>
      <w:r w:rsidR="008E638A">
        <w:rPr>
          <w:rFonts w:eastAsiaTheme="minorEastAsia" w:cstheme="minorHAnsi"/>
          <w:lang w:eastAsia="en-IN"/>
        </w:rPr>
        <w:t>ese</w:t>
      </w:r>
      <w:r w:rsidR="00D66305">
        <w:rPr>
          <w:rFonts w:eastAsiaTheme="minorEastAsia" w:cstheme="minorHAnsi"/>
          <w:lang w:eastAsia="en-IN"/>
        </w:rPr>
        <w:t xml:space="preserve"> model fitting pr</w:t>
      </w:r>
      <w:r w:rsidR="00FA0168">
        <w:rPr>
          <w:rFonts w:eastAsiaTheme="minorEastAsia" w:cstheme="minorHAnsi"/>
          <w:lang w:eastAsia="en-IN"/>
        </w:rPr>
        <w:t>ocedure</w:t>
      </w:r>
      <w:r w:rsidR="00BE7D9A">
        <w:rPr>
          <w:rFonts w:eastAsiaTheme="minorEastAsia" w:cstheme="minorHAnsi"/>
          <w:lang w:eastAsia="en-IN"/>
        </w:rPr>
        <w:t>s</w:t>
      </w:r>
      <w:r w:rsidR="00FA0168">
        <w:rPr>
          <w:rFonts w:eastAsiaTheme="minorEastAsia" w:cstheme="minorHAnsi"/>
          <w:lang w:eastAsia="en-IN"/>
        </w:rPr>
        <w:t xml:space="preserve"> </w:t>
      </w:r>
      <w:r w:rsidR="009271C1">
        <w:rPr>
          <w:rFonts w:eastAsiaTheme="minorEastAsia" w:cstheme="minorHAnsi"/>
          <w:lang w:eastAsia="en-IN"/>
        </w:rPr>
        <w:t>are</w:t>
      </w:r>
      <w:r w:rsidR="00FA0168">
        <w:rPr>
          <w:rFonts w:eastAsiaTheme="minorEastAsia" w:cstheme="minorHAnsi"/>
          <w:lang w:eastAsia="en-IN"/>
        </w:rPr>
        <w:t xml:space="preserve"> </w:t>
      </w:r>
      <w:r w:rsidR="004F0863">
        <w:rPr>
          <w:rFonts w:eastAsiaTheme="minorEastAsia" w:cstheme="minorHAnsi"/>
          <w:lang w:eastAsia="en-IN"/>
        </w:rPr>
        <w:t>portrayed</w:t>
      </w:r>
      <w:r w:rsidR="00FA0168">
        <w:rPr>
          <w:rFonts w:eastAsiaTheme="minorEastAsia" w:cstheme="minorHAnsi"/>
          <w:lang w:eastAsia="en-IN"/>
        </w:rPr>
        <w:t xml:space="preserve"> in the next section of this analysis.</w:t>
      </w:r>
    </w:p>
    <w:p w14:paraId="14A9CF6E" w14:textId="77777777" w:rsidR="00840DC5" w:rsidRDefault="00840DC5" w:rsidP="00840DC5">
      <w:pPr>
        <w:rPr>
          <w:rFonts w:eastAsiaTheme="minorEastAsia" w:cstheme="minorHAnsi"/>
          <w:lang w:eastAsia="en-IN"/>
        </w:rPr>
      </w:pPr>
    </w:p>
    <w:p w14:paraId="074CDF97" w14:textId="67A7F8F0" w:rsidR="00840DC5" w:rsidRDefault="00F63339" w:rsidP="00840DC5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</w:t>
      </w:r>
    </w:p>
    <w:p w14:paraId="100E151E" w14:textId="1F5306DC" w:rsidR="00840DC5" w:rsidRDefault="00840DC5" w:rsidP="00840DC5">
      <w:pPr>
        <w:rPr>
          <w:b/>
          <w:bCs/>
          <w:sz w:val="28"/>
          <w:szCs w:val="28"/>
        </w:rPr>
      </w:pPr>
    </w:p>
    <w:p w14:paraId="5F4D1CD9" w14:textId="5AB3793A" w:rsidR="00D85819" w:rsidRDefault="0085438A" w:rsidP="00E50F1C">
      <w:pPr>
        <w:spacing w:after="60"/>
        <w:ind w:firstLine="360"/>
        <w:rPr>
          <w:rFonts w:eastAsiaTheme="minorEastAsia" w:cstheme="minorHAnsi"/>
        </w:rPr>
      </w:pPr>
      <w:r>
        <w:rPr>
          <w:rFonts w:eastAsiaTheme="minorEastAsia" w:cstheme="minorHAnsi"/>
        </w:rPr>
        <w:t>A</w:t>
      </w:r>
      <w:r w:rsidR="003910A9">
        <w:rPr>
          <w:rFonts w:eastAsiaTheme="minorEastAsia" w:cstheme="minorHAnsi"/>
        </w:rPr>
        <w:t xml:space="preserve">n ARMA model </w:t>
      </w:r>
      <w:r w:rsidR="00845DCE">
        <w:rPr>
          <w:rFonts w:eastAsiaTheme="minorEastAsia" w:cstheme="minorHAnsi"/>
        </w:rPr>
        <w:t xml:space="preserve">was </w:t>
      </w:r>
      <w:r w:rsidR="00AA3FB6">
        <w:rPr>
          <w:rFonts w:eastAsiaTheme="minorEastAsia" w:cstheme="minorHAnsi"/>
        </w:rPr>
        <w:t>first</w:t>
      </w:r>
      <w:r w:rsidR="00845DCE">
        <w:rPr>
          <w:rFonts w:eastAsiaTheme="minorEastAsia" w:cstheme="minorHAnsi"/>
        </w:rPr>
        <w:t xml:space="preserve"> built and examined</w:t>
      </w:r>
      <w:r w:rsidR="000D74AD">
        <w:rPr>
          <w:rFonts w:eastAsiaTheme="minorEastAsia" w:cstheme="minorHAnsi"/>
        </w:rPr>
        <w:t xml:space="preserve"> using the</w:t>
      </w:r>
      <w:r w:rsidR="00837ED1">
        <w:rPr>
          <w:rFonts w:eastAsiaTheme="minorEastAsia" w:cstheme="minorHAnsi"/>
        </w:rPr>
        <w:t xml:space="preserve"> </w:t>
      </w:r>
      <w:r w:rsidR="00837ED1" w:rsidRPr="00AA0032">
        <w:rPr>
          <w:rFonts w:cstheme="minorHAnsi"/>
        </w:rPr>
        <w:t>aic5.wge function</w:t>
      </w:r>
      <w:r w:rsidR="00700A13">
        <w:rPr>
          <w:rFonts w:cstheme="minorHAnsi"/>
        </w:rPr>
        <w:t xml:space="preserve"> </w:t>
      </w:r>
      <w:r w:rsidR="00B81A20">
        <w:rPr>
          <w:rFonts w:cstheme="minorHAnsi"/>
        </w:rPr>
        <w:t xml:space="preserve">to identify the </w:t>
      </w:r>
      <w:r w:rsidR="000C6134">
        <w:rPr>
          <w:rFonts w:cstheme="minorHAnsi"/>
        </w:rPr>
        <w:t>top models for this data (using</w:t>
      </w:r>
      <w:r w:rsidR="000C6134" w:rsidRPr="00AA0032">
        <w:rPr>
          <w:rFonts w:cstheme="minorHAnsi"/>
        </w:rPr>
        <w:t xml:space="preserve"> AIC</w:t>
      </w:r>
      <w:r w:rsidR="000C6134">
        <w:rPr>
          <w:rFonts w:cstheme="minorHAnsi"/>
        </w:rPr>
        <w:t>),</w:t>
      </w:r>
      <w:r w:rsidR="000C6134" w:rsidRPr="00AA0032">
        <w:rPr>
          <w:rFonts w:cstheme="minorHAnsi"/>
        </w:rPr>
        <w:t xml:space="preserve"> allowing </w:t>
      </w:r>
      <m:oMath>
        <m:r>
          <w:rPr>
            <w:rFonts w:ascii="Cambria Math" w:hAnsi="Cambria Math" w:cstheme="minorHAnsi"/>
          </w:rPr>
          <m:t>p</m:t>
        </m:r>
      </m:oMath>
      <w:r w:rsidR="000C6134" w:rsidRPr="00AA0032">
        <w:rPr>
          <w:rFonts w:eastAsiaTheme="minorEastAsia" w:cstheme="minorHAnsi"/>
        </w:rPr>
        <w:t xml:space="preserve"> to go from 0 to 12 and </w:t>
      </w:r>
      <m:oMath>
        <m:r>
          <w:rPr>
            <w:rFonts w:ascii="Cambria Math" w:eastAsiaTheme="minorEastAsia" w:hAnsi="Cambria Math" w:cstheme="minorHAnsi"/>
          </w:rPr>
          <m:t>q</m:t>
        </m:r>
      </m:oMath>
      <w:r w:rsidR="000C6134" w:rsidRPr="00AA0032">
        <w:rPr>
          <w:rFonts w:eastAsiaTheme="minorEastAsia" w:cstheme="minorHAnsi"/>
        </w:rPr>
        <w:t xml:space="preserve"> to </w:t>
      </w:r>
      <w:r w:rsidR="000C6134">
        <w:rPr>
          <w:rFonts w:eastAsiaTheme="minorEastAsia" w:cstheme="minorHAnsi"/>
        </w:rPr>
        <w:t>go from</w:t>
      </w:r>
      <w:r w:rsidR="000C6134" w:rsidRPr="00AA0032">
        <w:rPr>
          <w:rFonts w:eastAsiaTheme="minorEastAsia" w:cstheme="minorHAnsi"/>
        </w:rPr>
        <w:t xml:space="preserve"> 0 to 4</w:t>
      </w:r>
      <w:r w:rsidR="00757E7D">
        <w:rPr>
          <w:rFonts w:eastAsiaTheme="minorEastAsia" w:cstheme="minorHAnsi"/>
        </w:rPr>
        <w:t>. T</w:t>
      </w:r>
      <w:r w:rsidR="00973757">
        <w:rPr>
          <w:rFonts w:eastAsiaTheme="minorEastAsia" w:cstheme="minorHAnsi"/>
        </w:rPr>
        <w:t xml:space="preserve">he factor table for the </w:t>
      </w:r>
      <w:r w:rsidR="00EB78EF">
        <w:rPr>
          <w:rFonts w:eastAsiaTheme="minorEastAsia" w:cstheme="minorHAnsi"/>
        </w:rPr>
        <w:t xml:space="preserve">“best” </w:t>
      </w:r>
      <w:r w:rsidR="00973757">
        <w:rPr>
          <w:rFonts w:eastAsiaTheme="minorEastAsia" w:cstheme="minorHAnsi"/>
        </w:rPr>
        <w:t xml:space="preserve">model </w:t>
      </w:r>
      <w:r w:rsidR="001B4359">
        <w:rPr>
          <w:rFonts w:eastAsiaTheme="minorEastAsia" w:cstheme="minorHAnsi"/>
        </w:rPr>
        <w:t xml:space="preserve">from the competing </w:t>
      </w:r>
      <w:r w:rsidR="00F071BB">
        <w:rPr>
          <w:rFonts w:eastAsiaTheme="minorEastAsia" w:cstheme="minorHAnsi"/>
        </w:rPr>
        <w:t>models</w:t>
      </w:r>
      <w:r w:rsidR="001B4359">
        <w:rPr>
          <w:rFonts w:eastAsiaTheme="minorEastAsia" w:cstheme="minorHAnsi"/>
        </w:rPr>
        <w:t xml:space="preserve"> </w:t>
      </w:r>
      <w:r w:rsidR="00973757">
        <w:rPr>
          <w:rFonts w:eastAsiaTheme="minorEastAsia" w:cstheme="minorHAnsi"/>
        </w:rPr>
        <w:t xml:space="preserve">can be seen below in </w:t>
      </w:r>
      <w:hyperlink w:anchor="_Table_2" w:history="1">
        <w:r w:rsidR="00973757" w:rsidRPr="00FD6FC3">
          <w:rPr>
            <w:rStyle w:val="Hyperlink"/>
            <w:rFonts w:eastAsiaTheme="minorEastAsia" w:cstheme="minorHAnsi"/>
          </w:rPr>
          <w:t>Table 2</w:t>
        </w:r>
      </w:hyperlink>
      <w:r w:rsidR="00487F54">
        <w:rPr>
          <w:rFonts w:eastAsiaTheme="minorEastAsia" w:cstheme="minorHAnsi"/>
        </w:rPr>
        <w:t>.</w:t>
      </w:r>
      <w:r w:rsidR="00633F38">
        <w:rPr>
          <w:rFonts w:eastAsiaTheme="minorEastAsia" w:cstheme="minorHAnsi"/>
        </w:rPr>
        <w:t xml:space="preserve"> Technically, </w:t>
      </w:r>
      <w:r w:rsidR="00362B6D">
        <w:rPr>
          <w:rFonts w:eastAsiaTheme="minorEastAsia" w:cstheme="minorHAnsi"/>
        </w:rPr>
        <w:t xml:space="preserve">the function chose </w:t>
      </w:r>
      <w:r w:rsidR="003C1E29">
        <w:rPr>
          <w:rFonts w:eastAsiaTheme="minorEastAsia" w:cstheme="minorHAnsi"/>
        </w:rPr>
        <w:t xml:space="preserve">an </w:t>
      </w:r>
      <w:proofErr w:type="gramStart"/>
      <w:r w:rsidR="003C1E29">
        <w:rPr>
          <w:rFonts w:eastAsiaTheme="minorEastAsia" w:cstheme="minorHAnsi"/>
        </w:rPr>
        <w:t>ARMA(</w:t>
      </w:r>
      <w:proofErr w:type="gramEnd"/>
      <w:r w:rsidR="003C1E29">
        <w:rPr>
          <w:rFonts w:eastAsiaTheme="minorEastAsia" w:cstheme="minorHAnsi"/>
        </w:rPr>
        <w:t xml:space="preserve">9,4) model </w:t>
      </w:r>
      <w:r w:rsidR="007C6102">
        <w:rPr>
          <w:rFonts w:eastAsiaTheme="minorEastAsia" w:cstheme="minorHAnsi"/>
        </w:rPr>
        <w:t>to be the best in terms of AIC criteria, however the fa</w:t>
      </w:r>
      <w:r w:rsidR="00FD2379">
        <w:rPr>
          <w:rFonts w:eastAsiaTheme="minorEastAsia" w:cstheme="minorHAnsi"/>
        </w:rPr>
        <w:t xml:space="preserve">ctor table for this model was a bit off since it showed two frequency peaks at </w:t>
      </w:r>
      <m:oMath>
        <m:r>
          <w:rPr>
            <w:rFonts w:ascii="Cambria Math" w:hAnsi="Cambria Math" w:cstheme="minorHAnsi"/>
          </w:rPr>
          <m:t>f=0</m:t>
        </m:r>
      </m:oMath>
      <w:r w:rsidR="00A41D92">
        <w:rPr>
          <w:rFonts w:eastAsiaTheme="minorEastAsia" w:cstheme="minorHAnsi"/>
        </w:rPr>
        <w:t xml:space="preserve">, so I decided to stick with </w:t>
      </w:r>
      <w:r w:rsidR="009C0249">
        <w:rPr>
          <w:rFonts w:eastAsiaTheme="minorEastAsia" w:cstheme="minorHAnsi"/>
        </w:rPr>
        <w:t>the second</w:t>
      </w:r>
      <w:r w:rsidR="00232404">
        <w:rPr>
          <w:rFonts w:eastAsiaTheme="minorEastAsia" w:cstheme="minorHAnsi"/>
        </w:rPr>
        <w:t xml:space="preserve"> “best”</w:t>
      </w:r>
      <w:r w:rsidR="005327FE">
        <w:rPr>
          <w:rFonts w:eastAsiaTheme="minorEastAsia" w:cstheme="minorHAnsi"/>
        </w:rPr>
        <w:t xml:space="preserve"> </w:t>
      </w:r>
      <w:r w:rsidR="00EE3E64">
        <w:rPr>
          <w:rFonts w:eastAsiaTheme="minorEastAsia" w:cstheme="minorHAnsi"/>
        </w:rPr>
        <w:t xml:space="preserve">model, which was the </w:t>
      </w:r>
      <w:r w:rsidR="005327FE">
        <w:rPr>
          <w:rFonts w:eastAsiaTheme="minorEastAsia" w:cstheme="minorHAnsi"/>
        </w:rPr>
        <w:t>ARMA(</w:t>
      </w:r>
      <w:r w:rsidR="008E6F22">
        <w:rPr>
          <w:rFonts w:eastAsiaTheme="minorEastAsia" w:cstheme="minorHAnsi"/>
        </w:rPr>
        <w:t>3,2</w:t>
      </w:r>
      <w:r w:rsidR="005327FE">
        <w:rPr>
          <w:rFonts w:eastAsiaTheme="minorEastAsia" w:cstheme="minorHAnsi"/>
        </w:rPr>
        <w:t>)</w:t>
      </w:r>
      <w:r w:rsidR="000946D9">
        <w:rPr>
          <w:rFonts w:eastAsiaTheme="minorEastAsia" w:cstheme="minorHAnsi"/>
        </w:rPr>
        <w:t>.</w:t>
      </w:r>
    </w:p>
    <w:p w14:paraId="6CB264B1" w14:textId="32AB9313" w:rsidR="00BE6475" w:rsidRDefault="00BE6475" w:rsidP="00BE6475">
      <w:pPr>
        <w:pStyle w:val="Heading1"/>
        <w:rPr>
          <w:rFonts w:eastAsiaTheme="minorEastAsia"/>
          <w:sz w:val="28"/>
          <w:szCs w:val="28"/>
        </w:rPr>
      </w:pPr>
      <w:bookmarkStart w:id="3" w:name="_Table_2"/>
      <w:bookmarkEnd w:id="3"/>
      <w:r>
        <w:rPr>
          <w:rFonts w:eastAsiaTheme="minorEastAsia"/>
          <w:sz w:val="28"/>
          <w:szCs w:val="28"/>
        </w:rPr>
        <w:t>Table 2</w:t>
      </w:r>
    </w:p>
    <w:p w14:paraId="12CDDD21" w14:textId="05F83DF0" w:rsidR="00BE6475" w:rsidRDefault="00BE6475" w:rsidP="00BE6475">
      <w:r>
        <w:t xml:space="preserve">Table </w:t>
      </w:r>
      <w:r w:rsidR="00575C40">
        <w:t>2</w:t>
      </w:r>
      <w:r>
        <w:t xml:space="preserve">: Factor Table for </w:t>
      </w:r>
      <w:proofErr w:type="gramStart"/>
      <w:r w:rsidR="002C0EE2">
        <w:t>ARMA(</w:t>
      </w:r>
      <w:proofErr w:type="gramEnd"/>
      <w:r w:rsidR="002C0EE2">
        <w:t>3,2)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160"/>
        <w:gridCol w:w="2067"/>
        <w:gridCol w:w="2338"/>
      </w:tblGrid>
      <w:tr w:rsidR="007178C4" w14:paraId="73D97579" w14:textId="77777777" w:rsidTr="00342A8D">
        <w:tc>
          <w:tcPr>
            <w:tcW w:w="2785" w:type="dxa"/>
          </w:tcPr>
          <w:p w14:paraId="1A3FEB18" w14:textId="257335F3" w:rsidR="007178C4" w:rsidRDefault="007178C4" w:rsidP="00934852">
            <w:pPr>
              <w:jc w:val="center"/>
            </w:pPr>
            <w:r w:rsidRPr="00D13F13">
              <w:rPr>
                <w:b/>
                <w:bCs/>
              </w:rPr>
              <w:t>Factor</w:t>
            </w:r>
          </w:p>
        </w:tc>
        <w:tc>
          <w:tcPr>
            <w:tcW w:w="2160" w:type="dxa"/>
          </w:tcPr>
          <w:p w14:paraId="212AC38C" w14:textId="4FE980EB" w:rsidR="007178C4" w:rsidRDefault="007178C4" w:rsidP="00934852">
            <w:pPr>
              <w:jc w:val="center"/>
            </w:pPr>
            <w:r w:rsidRPr="00D13F13">
              <w:rPr>
                <w:b/>
                <w:bCs/>
              </w:rPr>
              <w:t>Roots</w:t>
            </w:r>
          </w:p>
        </w:tc>
        <w:tc>
          <w:tcPr>
            <w:tcW w:w="2067" w:type="dxa"/>
          </w:tcPr>
          <w:p w14:paraId="009CA4CF" w14:textId="4C03A8D0" w:rsidR="007178C4" w:rsidRDefault="007178C4" w:rsidP="00934852">
            <w:pPr>
              <w:jc w:val="center"/>
            </w:pPr>
            <w:r w:rsidRPr="00D13F13">
              <w:rPr>
                <w:b/>
                <w:bCs/>
              </w:rPr>
              <w:t>Abs Recip</w:t>
            </w:r>
            <w:r>
              <w:rPr>
                <w:b/>
                <w:bCs/>
              </w:rPr>
              <w:t>.</w:t>
            </w:r>
          </w:p>
        </w:tc>
        <w:tc>
          <w:tcPr>
            <w:tcW w:w="2338" w:type="dxa"/>
          </w:tcPr>
          <w:p w14:paraId="146B4F9A" w14:textId="43700D8D" w:rsidR="007178C4" w:rsidRDefault="007178C4" w:rsidP="00934852">
            <w:pPr>
              <w:jc w:val="center"/>
            </w:pPr>
            <w:r w:rsidRPr="00D13F13">
              <w:rPr>
                <w:b/>
                <w:bCs/>
              </w:rPr>
              <w:t>Freq</w:t>
            </w:r>
            <w:r>
              <w:rPr>
                <w:b/>
                <w:bCs/>
              </w:rPr>
              <w:t>.</w:t>
            </w:r>
          </w:p>
        </w:tc>
      </w:tr>
      <w:tr w:rsidR="00A509E5" w14:paraId="7402104B" w14:textId="77777777" w:rsidTr="00342A8D">
        <w:tc>
          <w:tcPr>
            <w:tcW w:w="2785" w:type="dxa"/>
          </w:tcPr>
          <w:p w14:paraId="787CA6F1" w14:textId="7EE36CC0" w:rsidR="00A509E5" w:rsidRDefault="00511BDF" w:rsidP="00A5334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1+0.9875B</m:t>
                </m:r>
              </m:oMath>
            </m:oMathPara>
          </w:p>
        </w:tc>
        <w:tc>
          <w:tcPr>
            <w:tcW w:w="2160" w:type="dxa"/>
          </w:tcPr>
          <w:p w14:paraId="611D5712" w14:textId="7E2B36E1" w:rsidR="00A509E5" w:rsidRDefault="00F92984" w:rsidP="00A5334C">
            <m:oMathPara>
              <m:oMath>
                <m:r>
                  <w:rPr>
                    <w:rFonts w:ascii="Cambria Math" w:hAnsi="Cambria Math"/>
                  </w:rPr>
                  <m:t>-1.0127</m:t>
                </m:r>
              </m:oMath>
            </m:oMathPara>
          </w:p>
        </w:tc>
        <w:tc>
          <w:tcPr>
            <w:tcW w:w="2067" w:type="dxa"/>
          </w:tcPr>
          <w:p w14:paraId="3DA2408E" w14:textId="5D35DCEF" w:rsidR="00A509E5" w:rsidRDefault="00002500" w:rsidP="00A5334C">
            <m:oMathPara>
              <m:oMath>
                <m:r>
                  <w:rPr>
                    <w:rFonts w:ascii="Cambria Math" w:hAnsi="Cambria Math"/>
                  </w:rPr>
                  <m:t>0.9875</m:t>
                </m:r>
              </m:oMath>
            </m:oMathPara>
          </w:p>
        </w:tc>
        <w:tc>
          <w:tcPr>
            <w:tcW w:w="2338" w:type="dxa"/>
          </w:tcPr>
          <w:p w14:paraId="14935A76" w14:textId="04DBF8CF" w:rsidR="00A509E5" w:rsidRDefault="00002500" w:rsidP="00A5334C">
            <m:oMathPara>
              <m:oMath>
                <m:r>
                  <w:rPr>
                    <w:rFonts w:ascii="Cambria Math" w:hAnsi="Cambria Math"/>
                  </w:rPr>
                  <m:t>0.5000</m:t>
                </m:r>
              </m:oMath>
            </m:oMathPara>
          </w:p>
        </w:tc>
      </w:tr>
      <w:tr w:rsidR="005028CA" w14:paraId="30774D9A" w14:textId="77777777" w:rsidTr="00342A8D">
        <w:tc>
          <w:tcPr>
            <w:tcW w:w="2785" w:type="dxa"/>
          </w:tcPr>
          <w:p w14:paraId="0E380CA1" w14:textId="679CA847" w:rsidR="005028CA" w:rsidRDefault="005028CA" w:rsidP="005028C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1-1.8619B+0.8725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60" w:type="dxa"/>
          </w:tcPr>
          <w:p w14:paraId="174927E0" w14:textId="3A7FF757" w:rsidR="005028CA" w:rsidRDefault="005028CA" w:rsidP="005028CA">
            <m:oMathPara>
              <m:oMath>
                <m:r>
                  <w:rPr>
                    <w:rFonts w:ascii="Cambria Math" w:hAnsi="Cambria Math"/>
                  </w:rPr>
                  <m:t>1.0670-0.0874i</m:t>
                </m:r>
              </m:oMath>
            </m:oMathPara>
          </w:p>
        </w:tc>
        <w:tc>
          <w:tcPr>
            <w:tcW w:w="2067" w:type="dxa"/>
          </w:tcPr>
          <w:p w14:paraId="6C8B765E" w14:textId="04C92E9F" w:rsidR="005028CA" w:rsidRDefault="005028CA" w:rsidP="005028CA">
            <m:oMathPara>
              <m:oMath>
                <m:r>
                  <w:rPr>
                    <w:rFonts w:ascii="Cambria Math" w:hAnsi="Cambria Math"/>
                  </w:rPr>
                  <m:t>0.9341</m:t>
                </m:r>
              </m:oMath>
            </m:oMathPara>
          </w:p>
        </w:tc>
        <w:tc>
          <w:tcPr>
            <w:tcW w:w="2338" w:type="dxa"/>
          </w:tcPr>
          <w:p w14:paraId="3D48E49E" w14:textId="6463FD84" w:rsidR="005028CA" w:rsidRDefault="00501E4B" w:rsidP="005028CA">
            <m:oMathPara>
              <m:oMath>
                <m:r>
                  <w:rPr>
                    <w:rFonts w:ascii="Cambria Math" w:hAnsi="Cambria Math"/>
                  </w:rPr>
                  <m:t>0.0130</m:t>
                </m:r>
              </m:oMath>
            </m:oMathPara>
          </w:p>
        </w:tc>
      </w:tr>
    </w:tbl>
    <w:p w14:paraId="20FE2935" w14:textId="346690B3" w:rsidR="00487F54" w:rsidRDefault="00487F54" w:rsidP="00A5334C"/>
    <w:p w14:paraId="5DC9DF91" w14:textId="201C15EF" w:rsidR="00100F5E" w:rsidRDefault="00100F5E" w:rsidP="00A5334C">
      <w:r>
        <w:tab/>
        <w:t xml:space="preserve">Next, we needed to check </w:t>
      </w:r>
      <w:r w:rsidRPr="00100F5E">
        <w:t>the whiteness of the residuals</w:t>
      </w:r>
      <w:r w:rsidR="008031BB">
        <w:t xml:space="preserve"> by </w:t>
      </w:r>
      <w:r w:rsidRPr="00100F5E">
        <w:t>inspect</w:t>
      </w:r>
      <w:r w:rsidR="00CE2029">
        <w:t>ing</w:t>
      </w:r>
      <w:r w:rsidRPr="00100F5E">
        <w:t xml:space="preserve"> the back cast residuals from the fitted model. </w:t>
      </w:r>
      <w:hyperlink w:anchor="_Figure_3" w:history="1">
        <w:r w:rsidR="00A94013" w:rsidRPr="008A0BDB">
          <w:rPr>
            <w:rStyle w:val="Hyperlink"/>
          </w:rPr>
          <w:t>Figure 3</w:t>
        </w:r>
      </w:hyperlink>
      <w:r w:rsidRPr="00100F5E">
        <w:t xml:space="preserve"> below demonstrates the plotted residuals, the residual sample autocorrelations, and the residual Parzen spectral density plot</w:t>
      </w:r>
      <w:r w:rsidR="00F30103">
        <w:t xml:space="preserve"> for the obtained mode</w:t>
      </w:r>
      <w:r w:rsidR="00D32BAB">
        <w:t>l</w:t>
      </w:r>
      <w:r w:rsidRPr="00100F5E">
        <w:t>.</w:t>
      </w:r>
    </w:p>
    <w:p w14:paraId="028E9571" w14:textId="64267DC6" w:rsidR="00DE4311" w:rsidRDefault="00DE4311" w:rsidP="00DE4311">
      <w:pPr>
        <w:pStyle w:val="Heading1"/>
        <w:rPr>
          <w:sz w:val="28"/>
          <w:szCs w:val="28"/>
        </w:rPr>
      </w:pPr>
      <w:bookmarkStart w:id="4" w:name="_Figure_3"/>
      <w:bookmarkEnd w:id="4"/>
      <w:r>
        <w:rPr>
          <w:sz w:val="28"/>
          <w:szCs w:val="28"/>
        </w:rPr>
        <w:t>Figure 3</w:t>
      </w:r>
    </w:p>
    <w:p w14:paraId="3307BF7B" w14:textId="5B262EFB" w:rsidR="00DE4311" w:rsidRDefault="00DE4311" w:rsidP="00DE4311">
      <w:r>
        <w:t>Figure 3:</w:t>
      </w:r>
      <w:r w:rsidR="00FE02F4">
        <w:t xml:space="preserve"> </w:t>
      </w:r>
      <w:r w:rsidR="00FE02F4" w:rsidRPr="00FE02F4">
        <w:t>Residual Plot, Autocorrelations, and Spectral Density</w:t>
      </w:r>
      <w:r w:rsidR="002C6580">
        <w:t xml:space="preserve"> for </w:t>
      </w:r>
      <w:proofErr w:type="gramStart"/>
      <w:r w:rsidR="002C6580">
        <w:t>ARMA(</w:t>
      </w:r>
      <w:proofErr w:type="gramEnd"/>
      <w:r w:rsidR="002C6580">
        <w:t>3,2)</w:t>
      </w:r>
    </w:p>
    <w:p w14:paraId="57E0835A" w14:textId="573D27B0" w:rsidR="00FE02F4" w:rsidRDefault="00971B68" w:rsidP="00DE4311">
      <w:r>
        <w:rPr>
          <w:noProof/>
        </w:rPr>
        <w:lastRenderedPageBreak/>
        <w:drawing>
          <wp:inline distT="0" distB="0" distL="0" distR="0" wp14:anchorId="7550621D" wp14:editId="3F56FD5B">
            <wp:extent cx="5120640" cy="320040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5C62" w14:textId="77777777" w:rsidR="0018070E" w:rsidRDefault="0018070E" w:rsidP="00DE4311"/>
    <w:p w14:paraId="66864056" w14:textId="2DAA241C" w:rsidR="0018070E" w:rsidRDefault="0018070E" w:rsidP="0018070E">
      <w:pPr>
        <w:ind w:firstLine="720"/>
      </w:pPr>
      <w:r w:rsidRPr="0018070E">
        <w:t xml:space="preserve">From the figure </w:t>
      </w:r>
      <w:r w:rsidR="009F0832">
        <w:t xml:space="preserve">above </w:t>
      </w:r>
      <w:r w:rsidRPr="0018070E">
        <w:t>we can see that the residuals</w:t>
      </w:r>
      <w:r w:rsidR="00643345">
        <w:t xml:space="preserve"> don’t</w:t>
      </w:r>
      <w:r w:rsidRPr="0018070E">
        <w:t xml:space="preserve"> appear </w:t>
      </w:r>
      <w:r w:rsidR="00A11B41">
        <w:t>to</w:t>
      </w:r>
      <w:r w:rsidRPr="0018070E">
        <w:t xml:space="preserve"> be </w:t>
      </w:r>
      <w:r w:rsidR="0076138E">
        <w:t>so</w:t>
      </w:r>
      <w:r w:rsidR="00682A89">
        <w:t xml:space="preserve"> </w:t>
      </w:r>
      <w:r w:rsidRPr="0018070E">
        <w:t>random</w:t>
      </w:r>
      <w:r w:rsidR="00A94BFB">
        <w:t xml:space="preserve"> as there seems to be some </w:t>
      </w:r>
      <w:r w:rsidR="00DE4256">
        <w:t>pseudo</w:t>
      </w:r>
      <w:r w:rsidR="00A94BFB">
        <w:t>-periodic behavior</w:t>
      </w:r>
      <w:r w:rsidRPr="0018070E">
        <w:t xml:space="preserve">, </w:t>
      </w:r>
      <w:r w:rsidR="0090065C">
        <w:t>but</w:t>
      </w:r>
      <w:r w:rsidRPr="0018070E">
        <w:t xml:space="preserve"> the sample autocorrelations stay within the 95% limit lines (except for </w:t>
      </w:r>
      <w:r w:rsidR="00246684">
        <w:t>one</w:t>
      </w:r>
      <w:r w:rsidRPr="0018070E">
        <w:t xml:space="preserve">). The </w:t>
      </w:r>
      <w:proofErr w:type="spellStart"/>
      <w:r w:rsidRPr="0018070E">
        <w:t>Ljung</w:t>
      </w:r>
      <w:proofErr w:type="spellEnd"/>
      <w:r w:rsidRPr="0018070E">
        <w:t xml:space="preserve">-Box test results using the </w:t>
      </w:r>
      <w:proofErr w:type="spellStart"/>
      <w:r w:rsidRPr="0018070E">
        <w:t>ljung.wge</w:t>
      </w:r>
      <w:proofErr w:type="spellEnd"/>
      <w:r w:rsidRPr="0018070E">
        <w:t xml:space="preserve"> function for K=24 and K=48 </w:t>
      </w:r>
      <w:proofErr w:type="gramStart"/>
      <w:r w:rsidRPr="0018070E">
        <w:t>were</w:t>
      </w:r>
      <w:proofErr w:type="gramEnd"/>
      <w:r w:rsidRPr="0018070E">
        <w:t xml:space="preserve"> </w:t>
      </w:r>
      <w:r w:rsidR="007148E0">
        <w:t>also</w:t>
      </w:r>
      <w:r w:rsidRPr="0018070E">
        <w:t xml:space="preserve"> obtained</w:t>
      </w:r>
      <w:r w:rsidR="00EC6B34">
        <w:t>.</w:t>
      </w:r>
      <w:r w:rsidRPr="0018070E">
        <w:t xml:space="preserve"> The outputs for both values of K can be seen in </w:t>
      </w:r>
      <w:hyperlink w:anchor="_Table_3" w:history="1">
        <w:r w:rsidR="002C151D" w:rsidRPr="008A0BDB">
          <w:rPr>
            <w:rStyle w:val="Hyperlink"/>
          </w:rPr>
          <w:t>Table 3</w:t>
        </w:r>
      </w:hyperlink>
      <w:r w:rsidR="002C151D">
        <w:t xml:space="preserve"> and </w:t>
      </w:r>
      <w:hyperlink w:anchor="_Table_4" w:history="1">
        <w:r w:rsidR="002C151D" w:rsidRPr="008A0BDB">
          <w:rPr>
            <w:rStyle w:val="Hyperlink"/>
          </w:rPr>
          <w:t>Table 4</w:t>
        </w:r>
      </w:hyperlink>
      <w:r w:rsidR="002C151D">
        <w:t xml:space="preserve"> </w:t>
      </w:r>
      <w:r w:rsidRPr="0018070E">
        <w:t>below. As we can see, for both K=24 and K=48, the p-values are considerably greater than α=.05, so we don</w:t>
      </w:r>
      <w:r w:rsidR="00066AFC">
        <w:t>’</w:t>
      </w:r>
      <w:r w:rsidRPr="0018070E">
        <w:t xml:space="preserve">t have evidence to reject the null hypothesis of white noise. Also, based on the plots in the figure and the conducted </w:t>
      </w:r>
      <w:proofErr w:type="spellStart"/>
      <w:r w:rsidRPr="0018070E">
        <w:t>Ljung</w:t>
      </w:r>
      <w:proofErr w:type="spellEnd"/>
      <w:r w:rsidRPr="0018070E">
        <w:t xml:space="preserve">-Box test, it appears that the fitted model does a </w:t>
      </w:r>
      <w:r w:rsidR="003631B2">
        <w:t>rather</w:t>
      </w:r>
      <w:r w:rsidR="007F1AA7">
        <w:t xml:space="preserve"> decent</w:t>
      </w:r>
      <w:r w:rsidRPr="0018070E">
        <w:t xml:space="preserve"> job whitening the residuals.</w:t>
      </w:r>
    </w:p>
    <w:p w14:paraId="2FE60961" w14:textId="4C22E929" w:rsidR="00963AB5" w:rsidRDefault="00DF1F44" w:rsidP="00BC00F1">
      <w:pPr>
        <w:pStyle w:val="Heading1"/>
        <w:jc w:val="center"/>
        <w:rPr>
          <w:rFonts w:eastAsiaTheme="minorEastAsia"/>
        </w:rPr>
      </w:pPr>
      <w:bookmarkStart w:id="5" w:name="_Table_3"/>
      <w:bookmarkEnd w:id="5"/>
      <w:r>
        <w:rPr>
          <w:rFonts w:eastAsiaTheme="minorEastAsia"/>
        </w:rPr>
        <w:t>Table 3</w:t>
      </w:r>
    </w:p>
    <w:p w14:paraId="7257AC33" w14:textId="4734A318" w:rsidR="00DF1F44" w:rsidRPr="00DF1F44" w:rsidRDefault="00762497" w:rsidP="00BC00F1">
      <w:pPr>
        <w:jc w:val="center"/>
      </w:pPr>
      <w:r>
        <w:rPr>
          <w:rFonts w:eastAsiaTheme="minorEastAsia"/>
        </w:rPr>
        <w:t xml:space="preserve">Table 3: </w:t>
      </w:r>
      <w:proofErr w:type="spellStart"/>
      <w:r w:rsidR="00DF1F44" w:rsidRPr="000974CB">
        <w:rPr>
          <w:rFonts w:eastAsiaTheme="minorEastAsia"/>
        </w:rPr>
        <w:t>Ljung</w:t>
      </w:r>
      <w:proofErr w:type="spellEnd"/>
      <w:r w:rsidR="00DF1F44" w:rsidRPr="000974CB">
        <w:rPr>
          <w:rFonts w:eastAsiaTheme="minorEastAsia"/>
        </w:rPr>
        <w:t xml:space="preserve">-Box </w:t>
      </w:r>
      <w:r w:rsidR="00DF1F44">
        <w:rPr>
          <w:rFonts w:eastAsiaTheme="minorEastAsia"/>
        </w:rPr>
        <w:t>Test Result</w:t>
      </w:r>
      <w:r w:rsidR="00CB39E2">
        <w:rPr>
          <w:rFonts w:eastAsiaTheme="minorEastAsia"/>
        </w:rPr>
        <w:t xml:space="preserve"> for </w:t>
      </w:r>
      <w:proofErr w:type="gramStart"/>
      <w:r w:rsidR="00CB39E2">
        <w:rPr>
          <w:rFonts w:eastAsiaTheme="minorEastAsia"/>
        </w:rPr>
        <w:t>ARMA(</w:t>
      </w:r>
      <w:proofErr w:type="gramEnd"/>
      <w:r w:rsidR="00CB39E2">
        <w:rPr>
          <w:rFonts w:eastAsiaTheme="minorEastAsia"/>
        </w:rPr>
        <w:t>3,2)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250"/>
      </w:tblGrid>
      <w:tr w:rsidR="00963AB5" w14:paraId="2246CD3C" w14:textId="77777777" w:rsidTr="007B5170">
        <w:trPr>
          <w:jc w:val="center"/>
        </w:trPr>
        <w:tc>
          <w:tcPr>
            <w:tcW w:w="985" w:type="dxa"/>
          </w:tcPr>
          <w:p w14:paraId="2702A7A1" w14:textId="77777777" w:rsidR="00963AB5" w:rsidRDefault="00963AB5" w:rsidP="00BC00F1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>
              <w:rPr>
                <w:rFonts w:cstheme="minorHAnsi"/>
                <w:bCs/>
                <w:lang w:eastAsia="en-IN"/>
              </w:rPr>
              <w:t>K</w:t>
            </w:r>
          </w:p>
        </w:tc>
        <w:tc>
          <w:tcPr>
            <w:tcW w:w="1250" w:type="dxa"/>
          </w:tcPr>
          <w:p w14:paraId="2BE599B7" w14:textId="77777777" w:rsidR="00963AB5" w:rsidRDefault="00963AB5" w:rsidP="00BC00F1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>
              <w:rPr>
                <w:rFonts w:cstheme="minorHAnsi"/>
                <w:bCs/>
                <w:lang w:eastAsia="en-IN"/>
              </w:rPr>
              <w:t>24</w:t>
            </w:r>
          </w:p>
        </w:tc>
      </w:tr>
      <w:tr w:rsidR="00963AB5" w14:paraId="0D72AE16" w14:textId="77777777" w:rsidTr="007B5170">
        <w:trPr>
          <w:jc w:val="center"/>
        </w:trPr>
        <w:tc>
          <w:tcPr>
            <w:tcW w:w="985" w:type="dxa"/>
          </w:tcPr>
          <w:p w14:paraId="113C42C7" w14:textId="77777777" w:rsidR="00963AB5" w:rsidRDefault="00963AB5" w:rsidP="00BC00F1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>
              <w:rPr>
                <w:rFonts w:cstheme="minorHAnsi"/>
                <w:bCs/>
                <w:lang w:eastAsia="en-IN"/>
              </w:rPr>
              <w:t xml:space="preserve">Chi </w:t>
            </w:r>
            <w:proofErr w:type="spellStart"/>
            <w:r>
              <w:rPr>
                <w:rFonts w:cstheme="minorHAnsi"/>
                <w:bCs/>
                <w:lang w:eastAsia="en-IN"/>
              </w:rPr>
              <w:t>Sqr</w:t>
            </w:r>
            <w:proofErr w:type="spellEnd"/>
            <w:r>
              <w:rPr>
                <w:rFonts w:cstheme="minorHAnsi"/>
                <w:bCs/>
                <w:lang w:eastAsia="en-IN"/>
              </w:rPr>
              <w:t>.</w:t>
            </w:r>
          </w:p>
        </w:tc>
        <w:tc>
          <w:tcPr>
            <w:tcW w:w="1250" w:type="dxa"/>
          </w:tcPr>
          <w:p w14:paraId="4FDA86D0" w14:textId="241D5A0D" w:rsidR="00963AB5" w:rsidRDefault="005F7518" w:rsidP="00BC00F1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 w:rsidRPr="005F7518">
              <w:rPr>
                <w:rFonts w:cstheme="minorHAnsi"/>
                <w:bCs/>
                <w:lang w:eastAsia="en-IN"/>
              </w:rPr>
              <w:t>18.35721</w:t>
            </w:r>
          </w:p>
        </w:tc>
      </w:tr>
      <w:tr w:rsidR="00963AB5" w14:paraId="7D4DF636" w14:textId="77777777" w:rsidTr="007B5170">
        <w:trPr>
          <w:jc w:val="center"/>
        </w:trPr>
        <w:tc>
          <w:tcPr>
            <w:tcW w:w="985" w:type="dxa"/>
          </w:tcPr>
          <w:p w14:paraId="038D3147" w14:textId="77777777" w:rsidR="00963AB5" w:rsidRDefault="00963AB5" w:rsidP="00BC00F1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>
              <w:rPr>
                <w:rFonts w:cstheme="minorHAnsi"/>
                <w:bCs/>
                <w:lang w:eastAsia="en-IN"/>
              </w:rPr>
              <w:t>DF</w:t>
            </w:r>
          </w:p>
        </w:tc>
        <w:tc>
          <w:tcPr>
            <w:tcW w:w="1250" w:type="dxa"/>
          </w:tcPr>
          <w:p w14:paraId="5AA81582" w14:textId="453C6DE9" w:rsidR="00963AB5" w:rsidRDefault="005F7518" w:rsidP="00BC00F1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>
              <w:rPr>
                <w:rFonts w:cstheme="minorHAnsi"/>
                <w:bCs/>
                <w:lang w:eastAsia="en-IN"/>
              </w:rPr>
              <w:t>19</w:t>
            </w:r>
          </w:p>
        </w:tc>
      </w:tr>
      <w:tr w:rsidR="00963AB5" w14:paraId="538BF256" w14:textId="77777777" w:rsidTr="007B5170">
        <w:trPr>
          <w:jc w:val="center"/>
        </w:trPr>
        <w:tc>
          <w:tcPr>
            <w:tcW w:w="985" w:type="dxa"/>
          </w:tcPr>
          <w:p w14:paraId="32EB7B97" w14:textId="77777777" w:rsidR="00963AB5" w:rsidRDefault="00963AB5" w:rsidP="00BC00F1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>
              <w:rPr>
                <w:rFonts w:cstheme="minorHAnsi"/>
                <w:bCs/>
                <w:lang w:eastAsia="en-IN"/>
              </w:rPr>
              <w:t>P Value</w:t>
            </w:r>
          </w:p>
        </w:tc>
        <w:tc>
          <w:tcPr>
            <w:tcW w:w="1250" w:type="dxa"/>
          </w:tcPr>
          <w:p w14:paraId="0EF12102" w14:textId="2DF49B92" w:rsidR="00963AB5" w:rsidRDefault="005F7518" w:rsidP="00BC00F1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 w:rsidRPr="005F7518">
              <w:rPr>
                <w:rFonts w:cstheme="minorHAnsi"/>
                <w:bCs/>
                <w:lang w:eastAsia="en-IN"/>
              </w:rPr>
              <w:t>0.4987081</w:t>
            </w:r>
          </w:p>
        </w:tc>
      </w:tr>
    </w:tbl>
    <w:p w14:paraId="1504AE2A" w14:textId="06034795" w:rsidR="00762497" w:rsidRDefault="00762497" w:rsidP="00BC00F1">
      <w:pPr>
        <w:pStyle w:val="Heading1"/>
        <w:jc w:val="center"/>
        <w:rPr>
          <w:rFonts w:eastAsiaTheme="minorEastAsia"/>
        </w:rPr>
      </w:pPr>
      <w:bookmarkStart w:id="6" w:name="_Table_4"/>
      <w:bookmarkEnd w:id="6"/>
      <w:r>
        <w:rPr>
          <w:rFonts w:eastAsiaTheme="minorEastAsia"/>
        </w:rPr>
        <w:t>Table 4</w:t>
      </w:r>
    </w:p>
    <w:p w14:paraId="3ADCB851" w14:textId="2A383E00" w:rsidR="00963AB5" w:rsidRPr="00F03273" w:rsidRDefault="00115EF2" w:rsidP="00BC00F1">
      <w:pPr>
        <w:jc w:val="center"/>
      </w:pPr>
      <w:r>
        <w:rPr>
          <w:rFonts w:eastAsiaTheme="minorEastAsia"/>
        </w:rPr>
        <w:t xml:space="preserve">Table 4: </w:t>
      </w:r>
      <w:proofErr w:type="spellStart"/>
      <w:r w:rsidR="00762497" w:rsidRPr="000974CB">
        <w:rPr>
          <w:rFonts w:eastAsiaTheme="minorEastAsia"/>
        </w:rPr>
        <w:t>Ljung</w:t>
      </w:r>
      <w:proofErr w:type="spellEnd"/>
      <w:r w:rsidR="00762497" w:rsidRPr="000974CB">
        <w:rPr>
          <w:rFonts w:eastAsiaTheme="minorEastAsia"/>
        </w:rPr>
        <w:t xml:space="preserve">-Box </w:t>
      </w:r>
      <w:r w:rsidR="00762497">
        <w:rPr>
          <w:rFonts w:eastAsiaTheme="minorEastAsia"/>
        </w:rPr>
        <w:t>Test Result</w:t>
      </w:r>
      <w:r w:rsidR="00040DFC">
        <w:rPr>
          <w:rFonts w:eastAsiaTheme="minorEastAsia"/>
        </w:rPr>
        <w:t xml:space="preserve"> for </w:t>
      </w:r>
      <w:proofErr w:type="gramStart"/>
      <w:r w:rsidR="00040DFC">
        <w:rPr>
          <w:rFonts w:eastAsiaTheme="minorEastAsia"/>
        </w:rPr>
        <w:t>ARMA(</w:t>
      </w:r>
      <w:proofErr w:type="gramEnd"/>
      <w:r w:rsidR="00040DFC">
        <w:rPr>
          <w:rFonts w:eastAsiaTheme="minorEastAsia"/>
        </w:rPr>
        <w:t>3,2)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250"/>
      </w:tblGrid>
      <w:tr w:rsidR="00963AB5" w14:paraId="07E3F5A6" w14:textId="77777777" w:rsidTr="00C85E87">
        <w:trPr>
          <w:jc w:val="center"/>
        </w:trPr>
        <w:tc>
          <w:tcPr>
            <w:tcW w:w="985" w:type="dxa"/>
          </w:tcPr>
          <w:p w14:paraId="4097C48E" w14:textId="77777777" w:rsidR="00963AB5" w:rsidRDefault="00963AB5" w:rsidP="00BC00F1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>
              <w:rPr>
                <w:rFonts w:cstheme="minorHAnsi"/>
                <w:bCs/>
                <w:lang w:eastAsia="en-IN"/>
              </w:rPr>
              <w:t>K</w:t>
            </w:r>
          </w:p>
        </w:tc>
        <w:tc>
          <w:tcPr>
            <w:tcW w:w="1250" w:type="dxa"/>
          </w:tcPr>
          <w:p w14:paraId="195C6038" w14:textId="77777777" w:rsidR="00963AB5" w:rsidRDefault="00963AB5" w:rsidP="00BC00F1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>
              <w:rPr>
                <w:rFonts w:cstheme="minorHAnsi"/>
                <w:bCs/>
                <w:lang w:eastAsia="en-IN"/>
              </w:rPr>
              <w:t>48</w:t>
            </w:r>
          </w:p>
        </w:tc>
      </w:tr>
      <w:tr w:rsidR="00963AB5" w14:paraId="51AE0CD2" w14:textId="77777777" w:rsidTr="00C85E87">
        <w:trPr>
          <w:jc w:val="center"/>
        </w:trPr>
        <w:tc>
          <w:tcPr>
            <w:tcW w:w="985" w:type="dxa"/>
          </w:tcPr>
          <w:p w14:paraId="4F53A8B6" w14:textId="77777777" w:rsidR="00963AB5" w:rsidRDefault="00963AB5" w:rsidP="00BC00F1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>
              <w:rPr>
                <w:rFonts w:cstheme="minorHAnsi"/>
                <w:bCs/>
                <w:lang w:eastAsia="en-IN"/>
              </w:rPr>
              <w:t xml:space="preserve">Chi </w:t>
            </w:r>
            <w:proofErr w:type="spellStart"/>
            <w:r>
              <w:rPr>
                <w:rFonts w:cstheme="minorHAnsi"/>
                <w:bCs/>
                <w:lang w:eastAsia="en-IN"/>
              </w:rPr>
              <w:t>Sqr</w:t>
            </w:r>
            <w:proofErr w:type="spellEnd"/>
            <w:r>
              <w:rPr>
                <w:rFonts w:cstheme="minorHAnsi"/>
                <w:bCs/>
                <w:lang w:eastAsia="en-IN"/>
              </w:rPr>
              <w:t>.</w:t>
            </w:r>
          </w:p>
        </w:tc>
        <w:tc>
          <w:tcPr>
            <w:tcW w:w="1250" w:type="dxa"/>
          </w:tcPr>
          <w:p w14:paraId="577C2BED" w14:textId="38171628" w:rsidR="00963AB5" w:rsidRDefault="00016E49" w:rsidP="00BC00F1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 w:rsidRPr="00016E49">
              <w:rPr>
                <w:rFonts w:cstheme="minorHAnsi"/>
                <w:bCs/>
                <w:lang w:eastAsia="en-IN"/>
              </w:rPr>
              <w:t>38.68585</w:t>
            </w:r>
          </w:p>
        </w:tc>
      </w:tr>
      <w:tr w:rsidR="00963AB5" w14:paraId="51311746" w14:textId="77777777" w:rsidTr="00C85E87">
        <w:trPr>
          <w:jc w:val="center"/>
        </w:trPr>
        <w:tc>
          <w:tcPr>
            <w:tcW w:w="985" w:type="dxa"/>
          </w:tcPr>
          <w:p w14:paraId="1D2EB972" w14:textId="77777777" w:rsidR="00963AB5" w:rsidRDefault="00963AB5" w:rsidP="00BC00F1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>
              <w:rPr>
                <w:rFonts w:cstheme="minorHAnsi"/>
                <w:bCs/>
                <w:lang w:eastAsia="en-IN"/>
              </w:rPr>
              <w:t>DF</w:t>
            </w:r>
          </w:p>
        </w:tc>
        <w:tc>
          <w:tcPr>
            <w:tcW w:w="1250" w:type="dxa"/>
          </w:tcPr>
          <w:p w14:paraId="248D0622" w14:textId="3102ECED" w:rsidR="00963AB5" w:rsidRDefault="00963AB5" w:rsidP="00BC00F1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>
              <w:rPr>
                <w:rFonts w:cstheme="minorHAnsi"/>
                <w:bCs/>
                <w:lang w:eastAsia="en-IN"/>
              </w:rPr>
              <w:t>4</w:t>
            </w:r>
            <w:r w:rsidR="00016E49">
              <w:rPr>
                <w:rFonts w:cstheme="minorHAnsi"/>
                <w:bCs/>
                <w:lang w:eastAsia="en-IN"/>
              </w:rPr>
              <w:t>3</w:t>
            </w:r>
          </w:p>
        </w:tc>
      </w:tr>
      <w:tr w:rsidR="00963AB5" w14:paraId="1932DC6E" w14:textId="77777777" w:rsidTr="00C85E87">
        <w:trPr>
          <w:jc w:val="center"/>
        </w:trPr>
        <w:tc>
          <w:tcPr>
            <w:tcW w:w="985" w:type="dxa"/>
          </w:tcPr>
          <w:p w14:paraId="6356B8DC" w14:textId="77777777" w:rsidR="00963AB5" w:rsidRDefault="00963AB5" w:rsidP="00BC00F1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>
              <w:rPr>
                <w:rFonts w:cstheme="minorHAnsi"/>
                <w:bCs/>
                <w:lang w:eastAsia="en-IN"/>
              </w:rPr>
              <w:t>P Value</w:t>
            </w:r>
          </w:p>
        </w:tc>
        <w:tc>
          <w:tcPr>
            <w:tcW w:w="1250" w:type="dxa"/>
          </w:tcPr>
          <w:p w14:paraId="10FEC75C" w14:textId="42598CE3" w:rsidR="00963AB5" w:rsidRDefault="00016E49" w:rsidP="00BC00F1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 w:rsidRPr="00016E49">
              <w:rPr>
                <w:rFonts w:cstheme="minorHAnsi"/>
                <w:bCs/>
                <w:lang w:eastAsia="en-IN"/>
              </w:rPr>
              <w:t>0.6587886</w:t>
            </w:r>
          </w:p>
        </w:tc>
      </w:tr>
    </w:tbl>
    <w:p w14:paraId="573C8DB9" w14:textId="77777777" w:rsidR="000F5B7C" w:rsidRDefault="000F5B7C" w:rsidP="000F5B7C">
      <w:pPr>
        <w:rPr>
          <w:rFonts w:cstheme="minorHAnsi"/>
        </w:rPr>
      </w:pPr>
    </w:p>
    <w:p w14:paraId="2A2DAC25" w14:textId="42054504" w:rsidR="00B63EB8" w:rsidRDefault="00C72288" w:rsidP="000F5B7C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The </w:t>
      </w:r>
      <w:r w:rsidR="00C03770">
        <w:rPr>
          <w:rFonts w:cstheme="minorHAnsi"/>
        </w:rPr>
        <w:t xml:space="preserve">model’s </w:t>
      </w:r>
      <w:r w:rsidR="003066A1">
        <w:rPr>
          <w:rFonts w:cstheme="minorHAnsi"/>
        </w:rPr>
        <w:t>f</w:t>
      </w:r>
      <w:r w:rsidR="00B63EB8">
        <w:rPr>
          <w:rFonts w:cstheme="minorHAnsi"/>
        </w:rPr>
        <w:t xml:space="preserve">orecasting performance was also </w:t>
      </w:r>
      <w:proofErr w:type="gramStart"/>
      <w:r w:rsidR="0087722F">
        <w:rPr>
          <w:rFonts w:cstheme="minorHAnsi"/>
        </w:rPr>
        <w:t>analyzed</w:t>
      </w:r>
      <w:r w:rsidR="005317EB">
        <w:rPr>
          <w:rFonts w:cstheme="minorHAnsi"/>
        </w:rPr>
        <w:t>,</w:t>
      </w:r>
      <w:r w:rsidR="0087722F">
        <w:rPr>
          <w:rFonts w:cstheme="minorHAnsi"/>
        </w:rPr>
        <w:t xml:space="preserve"> and</w:t>
      </w:r>
      <w:proofErr w:type="gramEnd"/>
      <w:r w:rsidR="000D2906">
        <w:rPr>
          <w:rFonts w:cstheme="minorHAnsi"/>
        </w:rPr>
        <w:t xml:space="preserve"> b</w:t>
      </w:r>
      <w:r w:rsidR="00B63EB8" w:rsidRPr="00B63EB8">
        <w:rPr>
          <w:rFonts w:cstheme="minorHAnsi"/>
        </w:rPr>
        <w:t xml:space="preserve">ased on the </w:t>
      </w:r>
      <w:r w:rsidR="00E104F5">
        <w:rPr>
          <w:rFonts w:cstheme="minorHAnsi"/>
        </w:rPr>
        <w:t xml:space="preserve">forecasting performance </w:t>
      </w:r>
      <w:r w:rsidR="00B63EB8" w:rsidRPr="00B63EB8">
        <w:rPr>
          <w:rFonts w:cstheme="minorHAnsi"/>
        </w:rPr>
        <w:t xml:space="preserve">plot </w:t>
      </w:r>
      <w:r w:rsidR="002F24D0">
        <w:rPr>
          <w:rFonts w:cstheme="minorHAnsi"/>
        </w:rPr>
        <w:t xml:space="preserve">represented in </w:t>
      </w:r>
      <w:hyperlink w:anchor="_Figure_4" w:history="1">
        <w:r w:rsidR="002F24D0" w:rsidRPr="008D49E7">
          <w:rPr>
            <w:rStyle w:val="Hyperlink"/>
            <w:rFonts w:cstheme="minorHAnsi"/>
          </w:rPr>
          <w:t xml:space="preserve">Figure </w:t>
        </w:r>
        <w:r w:rsidR="00452999" w:rsidRPr="008D49E7">
          <w:rPr>
            <w:rStyle w:val="Hyperlink"/>
            <w:rFonts w:cstheme="minorHAnsi"/>
          </w:rPr>
          <w:t>4</w:t>
        </w:r>
      </w:hyperlink>
      <w:r w:rsidR="00452999">
        <w:rPr>
          <w:rFonts w:cstheme="minorHAnsi"/>
        </w:rPr>
        <w:t xml:space="preserve"> </w:t>
      </w:r>
      <w:r w:rsidR="00CC700C">
        <w:rPr>
          <w:rFonts w:cstheme="minorHAnsi"/>
        </w:rPr>
        <w:t>below</w:t>
      </w:r>
      <w:r w:rsidR="00B63EB8" w:rsidRPr="00B63EB8">
        <w:rPr>
          <w:rFonts w:cstheme="minorHAnsi"/>
        </w:rPr>
        <w:t>,</w:t>
      </w:r>
      <w:r w:rsidR="000C082B">
        <w:rPr>
          <w:rFonts w:cstheme="minorHAnsi"/>
        </w:rPr>
        <w:t xml:space="preserve"> and</w:t>
      </w:r>
      <w:r w:rsidR="00B63EB8" w:rsidRPr="00B63EB8">
        <w:rPr>
          <w:rFonts w:cstheme="minorHAnsi"/>
        </w:rPr>
        <w:t xml:space="preserve"> the model </w:t>
      </w:r>
      <w:r w:rsidR="002D5558">
        <w:rPr>
          <w:rFonts w:cstheme="minorHAnsi"/>
        </w:rPr>
        <w:t>doesn’t seem</w:t>
      </w:r>
      <w:r w:rsidR="00B63EB8" w:rsidRPr="00B63EB8">
        <w:rPr>
          <w:rFonts w:cstheme="minorHAnsi"/>
        </w:rPr>
        <w:t xml:space="preserve"> to </w:t>
      </w:r>
      <w:r w:rsidR="00C97D3D">
        <w:rPr>
          <w:rFonts w:cstheme="minorHAnsi"/>
        </w:rPr>
        <w:t>do</w:t>
      </w:r>
      <w:r w:rsidR="00B63EB8" w:rsidRPr="00B63EB8">
        <w:rPr>
          <w:rFonts w:cstheme="minorHAnsi"/>
        </w:rPr>
        <w:t xml:space="preserve"> </w:t>
      </w:r>
      <w:r w:rsidR="00C97D3D">
        <w:rPr>
          <w:rFonts w:cstheme="minorHAnsi"/>
        </w:rPr>
        <w:t>an</w:t>
      </w:r>
      <w:r w:rsidR="00B63EB8" w:rsidRPr="00B63EB8">
        <w:rPr>
          <w:rFonts w:cstheme="minorHAnsi"/>
        </w:rPr>
        <w:t xml:space="preserve"> appropriate </w:t>
      </w:r>
      <w:r w:rsidR="005A2A58">
        <w:rPr>
          <w:rFonts w:cstheme="minorHAnsi"/>
        </w:rPr>
        <w:t>job</w:t>
      </w:r>
      <w:r w:rsidR="00B63EB8" w:rsidRPr="00B63EB8">
        <w:rPr>
          <w:rFonts w:cstheme="minorHAnsi"/>
        </w:rPr>
        <w:t xml:space="preserve"> forecasting</w:t>
      </w:r>
      <w:r w:rsidR="002E422B">
        <w:rPr>
          <w:rFonts w:cstheme="minorHAnsi"/>
        </w:rPr>
        <w:t xml:space="preserve"> </w:t>
      </w:r>
      <w:r w:rsidR="00B63EB8" w:rsidRPr="00B63EB8">
        <w:rPr>
          <w:rFonts w:cstheme="minorHAnsi"/>
        </w:rPr>
        <w:t>since</w:t>
      </w:r>
      <w:r w:rsidR="00617BBA">
        <w:rPr>
          <w:rFonts w:cstheme="minorHAnsi"/>
        </w:rPr>
        <w:t xml:space="preserve"> </w:t>
      </w:r>
      <w:r w:rsidR="00B63EB8" w:rsidRPr="00B63EB8">
        <w:rPr>
          <w:rFonts w:cstheme="minorHAnsi"/>
        </w:rPr>
        <w:t xml:space="preserve">the last </w:t>
      </w:r>
      <w:r w:rsidR="00BC3237">
        <w:rPr>
          <w:rFonts w:cstheme="minorHAnsi"/>
        </w:rPr>
        <w:t>1</w:t>
      </w:r>
      <w:r w:rsidR="00B63EB8" w:rsidRPr="00B63EB8">
        <w:rPr>
          <w:rFonts w:cstheme="minorHAnsi"/>
        </w:rPr>
        <w:t xml:space="preserve">0 steps </w:t>
      </w:r>
      <w:r w:rsidR="00EB2A89">
        <w:rPr>
          <w:rFonts w:cstheme="minorHAnsi"/>
        </w:rPr>
        <w:t xml:space="preserve">aren’t forecasted </w:t>
      </w:r>
      <w:r w:rsidR="00B63EB8" w:rsidRPr="00B63EB8">
        <w:rPr>
          <w:rFonts w:cstheme="minorHAnsi"/>
        </w:rPr>
        <w:t>quite well</w:t>
      </w:r>
      <w:r w:rsidR="008C4704">
        <w:rPr>
          <w:rFonts w:cstheme="minorHAnsi"/>
        </w:rPr>
        <w:t>.</w:t>
      </w:r>
      <w:r w:rsidR="004F020C">
        <w:rPr>
          <w:rFonts w:cstheme="minorHAnsi"/>
        </w:rPr>
        <w:t xml:space="preserve"> </w:t>
      </w:r>
      <w:r w:rsidR="00951AF9">
        <w:rPr>
          <w:rFonts w:cstheme="minorHAnsi"/>
        </w:rPr>
        <w:t xml:space="preserve">Lastly, </w:t>
      </w:r>
      <w:r w:rsidR="001B6A87">
        <w:rPr>
          <w:rFonts w:cstheme="minorHAnsi"/>
        </w:rPr>
        <w:t xml:space="preserve">the </w:t>
      </w:r>
      <w:r w:rsidR="004F020C">
        <w:rPr>
          <w:rFonts w:cstheme="minorHAnsi"/>
        </w:rPr>
        <w:t>obtain</w:t>
      </w:r>
      <w:r w:rsidR="001B6A87">
        <w:rPr>
          <w:rFonts w:cstheme="minorHAnsi"/>
        </w:rPr>
        <w:t>ed</w:t>
      </w:r>
      <w:r w:rsidR="004F020C">
        <w:rPr>
          <w:rFonts w:cstheme="minorHAnsi"/>
        </w:rPr>
        <w:t xml:space="preserve"> RMSE and </w:t>
      </w:r>
      <w:r w:rsidR="008C2E43" w:rsidRPr="008C2E43">
        <w:rPr>
          <w:rFonts w:cstheme="minorHAnsi"/>
        </w:rPr>
        <w:t>MAD</w:t>
      </w:r>
      <w:r w:rsidR="008C2E43">
        <w:rPr>
          <w:rFonts w:cstheme="minorHAnsi"/>
        </w:rPr>
        <w:t xml:space="preserve"> values </w:t>
      </w:r>
      <w:r w:rsidR="00D067B8">
        <w:rPr>
          <w:rFonts w:cstheme="minorHAnsi"/>
        </w:rPr>
        <w:t>are</w:t>
      </w:r>
      <w:r w:rsidR="004F020C">
        <w:rPr>
          <w:rFonts w:cstheme="minorHAnsi"/>
        </w:rPr>
        <w:t xml:space="preserve"> </w:t>
      </w:r>
      <w:r w:rsidR="004F020C" w:rsidRPr="00616AA3">
        <w:rPr>
          <w:rFonts w:cstheme="minorHAnsi"/>
          <w:i/>
          <w:iCs/>
        </w:rPr>
        <w:t>10</w:t>
      </w:r>
      <w:r w:rsidR="00FB1272" w:rsidRPr="00616AA3">
        <w:rPr>
          <w:rFonts w:cstheme="minorHAnsi"/>
          <w:i/>
          <w:iCs/>
        </w:rPr>
        <w:t>,</w:t>
      </w:r>
      <w:r w:rsidR="004F020C" w:rsidRPr="00616AA3">
        <w:rPr>
          <w:rFonts w:cstheme="minorHAnsi"/>
          <w:i/>
          <w:iCs/>
        </w:rPr>
        <w:t>010.86</w:t>
      </w:r>
      <w:r w:rsidR="0067053C">
        <w:rPr>
          <w:rFonts w:cstheme="minorHAnsi"/>
        </w:rPr>
        <w:t xml:space="preserve"> and </w:t>
      </w:r>
      <w:r w:rsidR="00C32479" w:rsidRPr="00B32B87">
        <w:rPr>
          <w:rFonts w:cstheme="minorHAnsi"/>
          <w:i/>
          <w:iCs/>
        </w:rPr>
        <w:t>9,133.65</w:t>
      </w:r>
      <w:r w:rsidR="00032CB9">
        <w:rPr>
          <w:rFonts w:cstheme="minorHAnsi"/>
        </w:rPr>
        <w:t xml:space="preserve"> for model forecasting</w:t>
      </w:r>
      <w:r w:rsidR="00AD2164">
        <w:rPr>
          <w:rFonts w:cstheme="minorHAnsi"/>
        </w:rPr>
        <w:t>, respectively.</w:t>
      </w:r>
    </w:p>
    <w:p w14:paraId="60E50FEF" w14:textId="40DD7EF0" w:rsidR="002A12A0" w:rsidRDefault="002A12A0" w:rsidP="002A12A0">
      <w:pPr>
        <w:pStyle w:val="Heading1"/>
        <w:rPr>
          <w:sz w:val="28"/>
          <w:szCs w:val="28"/>
        </w:rPr>
      </w:pPr>
      <w:bookmarkStart w:id="7" w:name="_Figure_4"/>
      <w:bookmarkEnd w:id="7"/>
      <w:r>
        <w:rPr>
          <w:sz w:val="28"/>
          <w:szCs w:val="28"/>
        </w:rPr>
        <w:t>Figure 4</w:t>
      </w:r>
    </w:p>
    <w:p w14:paraId="115091CD" w14:textId="4A1A53EB" w:rsidR="00FB4670" w:rsidRDefault="002A12A0" w:rsidP="002A12A0">
      <w:r>
        <w:t xml:space="preserve">Figure </w:t>
      </w:r>
      <w:r w:rsidR="006935EE">
        <w:t>4</w:t>
      </w:r>
      <w:r>
        <w:t xml:space="preserve">: </w:t>
      </w:r>
      <w:r w:rsidR="00313750" w:rsidRPr="00313750">
        <w:t xml:space="preserve">Forecasting Performance </w:t>
      </w:r>
      <w:r>
        <w:t xml:space="preserve">for </w:t>
      </w:r>
      <w:proofErr w:type="gramStart"/>
      <w:r>
        <w:t>ARMA(</w:t>
      </w:r>
      <w:proofErr w:type="gramEnd"/>
      <w:r>
        <w:t>3,2)</w:t>
      </w:r>
      <w:r w:rsidR="00945428">
        <w:rPr>
          <w:noProof/>
        </w:rPr>
        <w:drawing>
          <wp:inline distT="0" distB="0" distL="0" distR="0" wp14:anchorId="07A9A88B" wp14:editId="03919442">
            <wp:extent cx="5120640" cy="32004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AFCA" w14:textId="77777777" w:rsidR="00B63EB8" w:rsidRDefault="00B63EB8" w:rsidP="008B39CA">
      <w:pPr>
        <w:rPr>
          <w:rFonts w:cstheme="minorHAnsi"/>
        </w:rPr>
      </w:pPr>
    </w:p>
    <w:p w14:paraId="6EE3E546" w14:textId="17B456FA" w:rsidR="005E31C4" w:rsidRDefault="00DF742D" w:rsidP="008B39CA">
      <w:pPr>
        <w:ind w:firstLine="720"/>
        <w:rPr>
          <w:rFonts w:eastAsiaTheme="minorEastAsia" w:cstheme="minorHAnsi"/>
        </w:rPr>
      </w:pPr>
      <w:r>
        <w:rPr>
          <w:rFonts w:cstheme="minorHAnsi"/>
        </w:rPr>
        <w:t xml:space="preserve">To obtain better models, transforming the data is another viable option. </w:t>
      </w:r>
      <w:r w:rsidR="002C65ED">
        <w:rPr>
          <w:rFonts w:cstheme="minorHAnsi"/>
        </w:rPr>
        <w:t>The</w:t>
      </w:r>
      <w:r w:rsidR="005E31C4">
        <w:rPr>
          <w:rFonts w:cstheme="minorHAnsi"/>
        </w:rPr>
        <w:t xml:space="preserve"> </w:t>
      </w:r>
      <w:r w:rsidR="005E31C4" w:rsidRPr="007C7E44">
        <w:rPr>
          <w:rFonts w:cstheme="minorHAnsi"/>
        </w:rPr>
        <w:t>factor table</w:t>
      </w:r>
      <w:r w:rsidR="006B3DEF">
        <w:rPr>
          <w:rFonts w:cstheme="minorHAnsi"/>
        </w:rPr>
        <w:t xml:space="preserve"> </w:t>
      </w:r>
      <w:r w:rsidR="00FB0448">
        <w:rPr>
          <w:rFonts w:cstheme="minorHAnsi"/>
        </w:rPr>
        <w:t xml:space="preserve">in the </w:t>
      </w:r>
      <w:r w:rsidR="006E4789" w:rsidRPr="007F0188">
        <w:rPr>
          <w:rFonts w:cstheme="minorHAnsi"/>
          <w:i/>
          <w:iCs/>
        </w:rPr>
        <w:t>Methods</w:t>
      </w:r>
      <w:r w:rsidR="006E4789">
        <w:rPr>
          <w:rFonts w:cstheme="minorHAnsi"/>
        </w:rPr>
        <w:t xml:space="preserve"> section</w:t>
      </w:r>
      <w:r w:rsidR="00232FC6">
        <w:rPr>
          <w:rFonts w:cstheme="minorHAnsi"/>
        </w:rPr>
        <w:t xml:space="preserve"> </w:t>
      </w:r>
      <w:r w:rsidR="00C435A5">
        <w:rPr>
          <w:rFonts w:cstheme="minorHAnsi"/>
        </w:rPr>
        <w:t xml:space="preserve">of this analysis </w:t>
      </w:r>
      <w:r w:rsidR="0093051A">
        <w:rPr>
          <w:rFonts w:cstheme="minorHAnsi"/>
        </w:rPr>
        <w:t xml:space="preserve">was </w:t>
      </w:r>
      <w:r w:rsidR="005A1868">
        <w:rPr>
          <w:rFonts w:cstheme="minorHAnsi"/>
        </w:rPr>
        <w:t>created</w:t>
      </w:r>
      <w:r w:rsidR="0093051A">
        <w:rPr>
          <w:rFonts w:cstheme="minorHAnsi"/>
        </w:rPr>
        <w:t xml:space="preserve"> using</w:t>
      </w:r>
      <w:r w:rsidR="005E31C4" w:rsidRPr="007C7E44">
        <w:rPr>
          <w:rFonts w:cstheme="minorHAnsi"/>
        </w:rPr>
        <w:t xml:space="preserve"> the overfitting procedure with </w:t>
      </w:r>
      <m:oMath>
        <m:r>
          <w:rPr>
            <w:rFonts w:ascii="Cambria Math" w:eastAsiaTheme="minorEastAsia" w:hAnsi="Cambria Math" w:cstheme="minorHAnsi"/>
          </w:rPr>
          <m:t>p=15</m:t>
        </m:r>
      </m:oMath>
      <w:r w:rsidR="005E31C4" w:rsidRPr="007C7E44">
        <w:rPr>
          <w:rFonts w:eastAsiaTheme="minorEastAsia" w:cstheme="minorHAnsi"/>
        </w:rPr>
        <w:t>,</w:t>
      </w:r>
      <w:r w:rsidR="005E31C4">
        <w:rPr>
          <w:rFonts w:eastAsiaTheme="minorEastAsia" w:cstheme="minorHAnsi"/>
        </w:rPr>
        <w:t xml:space="preserve"> </w:t>
      </w:r>
      <w:r w:rsidR="008B39C4">
        <w:rPr>
          <w:rFonts w:eastAsiaTheme="minorEastAsia" w:cstheme="minorHAnsi"/>
        </w:rPr>
        <w:t xml:space="preserve">and from the table </w:t>
      </w:r>
      <w:r w:rsidR="008A4658">
        <w:rPr>
          <w:rFonts w:eastAsiaTheme="minorEastAsia" w:cstheme="minorHAnsi"/>
        </w:rPr>
        <w:t xml:space="preserve">we can conclude that </w:t>
      </w:r>
      <w:r w:rsidR="005E31C4">
        <w:rPr>
          <w:rFonts w:eastAsiaTheme="minorEastAsia" w:cstheme="minorHAnsi"/>
        </w:rPr>
        <w:t xml:space="preserve">the unit root of </w:t>
      </w:r>
      <m:oMath>
        <m:r>
          <w:rPr>
            <w:rFonts w:ascii="Cambria Math" w:eastAsiaTheme="minorEastAsia" w:hAnsi="Cambria Math" w:cs="Times New Roman"/>
          </w:rPr>
          <m:t>1-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</w:rPr>
              <m:t>12</m:t>
            </m:r>
          </m:sup>
        </m:sSup>
      </m:oMath>
      <w:r w:rsidR="005E31C4">
        <w:rPr>
          <w:rFonts w:eastAsiaTheme="minorEastAsia" w:cstheme="minorHAnsi"/>
        </w:rPr>
        <w:t xml:space="preserve"> </w:t>
      </w:r>
      <w:r w:rsidR="00E0303F">
        <w:rPr>
          <w:rFonts w:eastAsiaTheme="minorEastAsia" w:cstheme="minorHAnsi"/>
        </w:rPr>
        <w:t>can</w:t>
      </w:r>
      <w:r w:rsidR="005E31C4">
        <w:rPr>
          <w:rFonts w:eastAsiaTheme="minorEastAsia" w:cstheme="minorHAnsi"/>
        </w:rPr>
        <w:t xml:space="preserve"> be included</w:t>
      </w:r>
      <w:r w:rsidR="005E31C4" w:rsidRPr="007C7E44">
        <w:rPr>
          <w:rFonts w:eastAsiaTheme="minorEastAsia" w:cstheme="minorHAnsi"/>
        </w:rPr>
        <w:t>.</w:t>
      </w:r>
      <w:r w:rsidR="00F132B5">
        <w:rPr>
          <w:rFonts w:eastAsiaTheme="minorEastAsia" w:cstheme="minorHAnsi"/>
        </w:rPr>
        <w:t xml:space="preserve"> The data</w:t>
      </w:r>
      <w:r w:rsidR="00D70C3E">
        <w:rPr>
          <w:rFonts w:eastAsiaTheme="minorEastAsia" w:cstheme="minorHAnsi"/>
        </w:rPr>
        <w:t xml:space="preserve"> was</w:t>
      </w:r>
      <w:r w:rsidR="00F132B5" w:rsidRPr="007C7E44">
        <w:rPr>
          <w:rFonts w:eastAsiaTheme="minorEastAsia" w:cstheme="minorHAnsi"/>
        </w:rPr>
        <w:t xml:space="preserve"> then </w:t>
      </w:r>
      <w:r w:rsidR="0094232A">
        <w:rPr>
          <w:rFonts w:eastAsiaTheme="minorEastAsia" w:cstheme="minorHAnsi"/>
        </w:rPr>
        <w:t>transformed</w:t>
      </w:r>
      <w:r w:rsidR="00F132B5" w:rsidRPr="007C7E44">
        <w:rPr>
          <w:rFonts w:eastAsiaTheme="minorEastAsia" w:cstheme="minorHAnsi"/>
        </w:rPr>
        <w:t xml:space="preserve"> by first applying a seasonal transformation</w:t>
      </w:r>
      <w:r w:rsidR="00996206">
        <w:rPr>
          <w:rFonts w:eastAsiaTheme="minorEastAsia" w:cstheme="minorHAnsi"/>
        </w:rPr>
        <w:t>,</w:t>
      </w:r>
      <w:r w:rsidR="00F132B5" w:rsidRPr="007C7E44">
        <w:rPr>
          <w:rFonts w:eastAsiaTheme="minorEastAsia" w:cstheme="minorHAnsi"/>
        </w:rPr>
        <w:t xml:space="preserve"> and the transformed data</w:t>
      </w:r>
      <w:r w:rsidR="00866006">
        <w:rPr>
          <w:rFonts w:eastAsiaTheme="minorEastAsia" w:cstheme="minorHAnsi"/>
        </w:rPr>
        <w:t xml:space="preserve"> was </w:t>
      </w:r>
      <w:r w:rsidR="00866006" w:rsidRPr="007C7E44">
        <w:rPr>
          <w:rFonts w:eastAsiaTheme="minorEastAsia" w:cstheme="minorHAnsi"/>
        </w:rPr>
        <w:t>also differenced</w:t>
      </w:r>
      <w:r w:rsidR="00F132B5" w:rsidRPr="007C7E44">
        <w:rPr>
          <w:rFonts w:eastAsiaTheme="minorEastAsia" w:cstheme="minorHAnsi"/>
        </w:rPr>
        <w:t xml:space="preserve"> right after</w:t>
      </w:r>
      <w:r w:rsidR="00AA5698">
        <w:rPr>
          <w:rFonts w:eastAsiaTheme="minorEastAsia" w:cstheme="minorHAnsi"/>
        </w:rPr>
        <w:t xml:space="preserve"> </w:t>
      </w:r>
      <w:proofErr w:type="gramStart"/>
      <w:r w:rsidR="00AA5698">
        <w:rPr>
          <w:rFonts w:eastAsiaTheme="minorEastAsia" w:cstheme="minorHAnsi"/>
        </w:rPr>
        <w:t>in order to</w:t>
      </w:r>
      <w:proofErr w:type="gramEnd"/>
      <w:r w:rsidR="00AA5698">
        <w:rPr>
          <w:rFonts w:eastAsiaTheme="minorEastAsia" w:cstheme="minorHAnsi"/>
        </w:rPr>
        <w:t xml:space="preserve"> fit an</w:t>
      </w:r>
      <w:r w:rsidR="008B08B5">
        <w:rPr>
          <w:rFonts w:eastAsiaTheme="minorEastAsia" w:cstheme="minorHAnsi"/>
        </w:rPr>
        <w:t>other</w:t>
      </w:r>
      <w:r w:rsidR="00F132B5" w:rsidRPr="007C7E44">
        <w:rPr>
          <w:rFonts w:eastAsiaTheme="minorEastAsia" w:cstheme="minorHAnsi"/>
        </w:rPr>
        <w:t xml:space="preserve"> ARMA</w:t>
      </w:r>
      <w:r w:rsidR="0043151C">
        <w:rPr>
          <w:rFonts w:eastAsiaTheme="minorEastAsia" w:cstheme="minorHAnsi"/>
        </w:rPr>
        <w:t xml:space="preserve"> </w:t>
      </w:r>
      <w:r w:rsidR="00F132B5" w:rsidRPr="007C7E44">
        <w:rPr>
          <w:rFonts w:eastAsiaTheme="minorEastAsia" w:cstheme="minorHAnsi"/>
        </w:rPr>
        <w:t xml:space="preserve">model </w:t>
      </w:r>
      <w:r w:rsidR="000E4D02">
        <w:rPr>
          <w:rFonts w:eastAsiaTheme="minorEastAsia" w:cstheme="minorHAnsi"/>
        </w:rPr>
        <w:t xml:space="preserve">by </w:t>
      </w:r>
      <w:r w:rsidR="00F132B5" w:rsidRPr="007C7E44">
        <w:rPr>
          <w:rFonts w:eastAsiaTheme="minorEastAsia" w:cstheme="minorHAnsi"/>
        </w:rPr>
        <w:t>letting AIC select the top five model orders for the transformed data (p=0:15, q=0:2). AIC select</w:t>
      </w:r>
      <w:r w:rsidR="00A57F4A">
        <w:rPr>
          <w:rFonts w:eastAsiaTheme="minorEastAsia" w:cstheme="minorHAnsi"/>
        </w:rPr>
        <w:t>ed</w:t>
      </w:r>
      <w:r w:rsidR="00F132B5" w:rsidRPr="007C7E44">
        <w:rPr>
          <w:rFonts w:eastAsiaTheme="minorEastAsia" w:cstheme="minorHAnsi"/>
        </w:rPr>
        <w:t xml:space="preserve"> an ARMA(</w:t>
      </w:r>
      <w:r w:rsidR="00B9021B">
        <w:rPr>
          <w:rFonts w:eastAsiaTheme="minorEastAsia" w:cstheme="minorHAnsi"/>
        </w:rPr>
        <w:t>3</w:t>
      </w:r>
      <w:r w:rsidR="00F132B5" w:rsidRPr="007C7E44">
        <w:rPr>
          <w:rFonts w:eastAsiaTheme="minorEastAsia" w:cstheme="minorHAnsi"/>
        </w:rPr>
        <w:t>,</w:t>
      </w:r>
      <w:r w:rsidR="00B9021B">
        <w:rPr>
          <w:rFonts w:eastAsiaTheme="minorEastAsia" w:cstheme="minorHAnsi"/>
        </w:rPr>
        <w:t>0</w:t>
      </w:r>
      <w:r w:rsidR="00F132B5" w:rsidRPr="007C7E44">
        <w:rPr>
          <w:rFonts w:eastAsiaTheme="minorEastAsia" w:cstheme="minorHAnsi"/>
        </w:rPr>
        <w:t xml:space="preserve">) model to be the </w:t>
      </w:r>
      <w:r w:rsidR="00996D6D">
        <w:rPr>
          <w:rFonts w:eastAsiaTheme="minorEastAsia" w:cstheme="minorHAnsi"/>
        </w:rPr>
        <w:t>“</w:t>
      </w:r>
      <w:r w:rsidR="00F132B5" w:rsidRPr="007C7E44">
        <w:rPr>
          <w:rFonts w:eastAsiaTheme="minorEastAsia" w:cstheme="minorHAnsi"/>
        </w:rPr>
        <w:t>top</w:t>
      </w:r>
      <w:r w:rsidR="00996D6D">
        <w:rPr>
          <w:rFonts w:eastAsiaTheme="minorEastAsia" w:cstheme="minorHAnsi"/>
        </w:rPr>
        <w:t>”</w:t>
      </w:r>
      <w:r w:rsidR="00F132B5" w:rsidRPr="007C7E44">
        <w:rPr>
          <w:rFonts w:eastAsiaTheme="minorEastAsia" w:cstheme="minorHAnsi"/>
        </w:rPr>
        <w:t xml:space="preserve"> model and so we fit it using “Burg” estimates </w:t>
      </w:r>
      <w:r w:rsidR="00094D59">
        <w:rPr>
          <w:rFonts w:eastAsiaTheme="minorEastAsia" w:cstheme="minorHAnsi"/>
        </w:rPr>
        <w:t>to</w:t>
      </w:r>
      <w:r w:rsidR="00F132B5" w:rsidRPr="007C7E44">
        <w:rPr>
          <w:rFonts w:eastAsiaTheme="minorEastAsia" w:cstheme="minorHAnsi"/>
        </w:rPr>
        <w:t xml:space="preserve"> obtain a final model of</w:t>
      </w:r>
      <w:r w:rsidR="009D418C">
        <w:rPr>
          <w:rFonts w:eastAsiaTheme="minorEastAsia" w:cstheme="minorHAnsi"/>
        </w:rPr>
        <w:t>:</w:t>
      </w:r>
      <w:r w:rsidR="00994B8D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12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5E31C4">
        <w:rPr>
          <w:rFonts w:eastAsiaTheme="minorEastAsia" w:cstheme="minorHAnsi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=1-0.276-0.078-0.384</m:t>
        </m:r>
      </m:oMath>
      <w:r w:rsidR="00D65D76">
        <w:rPr>
          <w:rFonts w:eastAsiaTheme="minorEastAsia" w:cstheme="minorHAnsi"/>
        </w:rPr>
        <w:t xml:space="preserve"> </w:t>
      </w:r>
      <w:r w:rsidR="005E31C4">
        <w:rPr>
          <w:rFonts w:eastAsiaTheme="minorEastAsia" w:cstheme="minorHAnsi"/>
        </w:rPr>
        <w:t xml:space="preserve">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=6,021,575</m:t>
        </m:r>
      </m:oMath>
      <w:r w:rsidR="005E31C4">
        <w:rPr>
          <w:rFonts w:eastAsiaTheme="minorEastAsia" w:cstheme="minorHAnsi"/>
        </w:rPr>
        <w:t>, which is i</w:t>
      </w:r>
      <w:proofErr w:type="spellStart"/>
      <w:r w:rsidR="005E31C4">
        <w:rPr>
          <w:rFonts w:eastAsiaTheme="minorEastAsia" w:cstheme="minorHAnsi"/>
        </w:rPr>
        <w:t>ncredibly</w:t>
      </w:r>
      <w:proofErr w:type="spellEnd"/>
      <w:r w:rsidR="005E31C4">
        <w:rPr>
          <w:rFonts w:eastAsiaTheme="minorEastAsia" w:cstheme="minorHAnsi"/>
        </w:rPr>
        <w:t xml:space="preserve"> high.</w:t>
      </w:r>
      <w:r w:rsidR="00816CE6">
        <w:rPr>
          <w:rFonts w:eastAsiaTheme="minorEastAsia" w:cstheme="minorHAnsi"/>
        </w:rPr>
        <w:t xml:space="preserve"> The factor table for this model can be seen in </w:t>
      </w:r>
      <w:hyperlink w:anchor="_Table_5" w:history="1">
        <w:r w:rsidR="00816CE6" w:rsidRPr="00FB4ABE">
          <w:rPr>
            <w:rStyle w:val="Hyperlink"/>
            <w:rFonts w:eastAsiaTheme="minorEastAsia" w:cstheme="minorHAnsi"/>
          </w:rPr>
          <w:t xml:space="preserve">Table </w:t>
        </w:r>
        <w:r w:rsidR="00F15BD0" w:rsidRPr="00FB4ABE">
          <w:rPr>
            <w:rStyle w:val="Hyperlink"/>
            <w:rFonts w:eastAsiaTheme="minorEastAsia" w:cstheme="minorHAnsi"/>
          </w:rPr>
          <w:t>5</w:t>
        </w:r>
      </w:hyperlink>
      <w:r w:rsidR="00F15BD0">
        <w:rPr>
          <w:rFonts w:eastAsiaTheme="minorEastAsia" w:cstheme="minorHAnsi"/>
        </w:rPr>
        <w:t xml:space="preserve"> below.</w:t>
      </w:r>
    </w:p>
    <w:p w14:paraId="6BF14146" w14:textId="3A2CFD0D" w:rsidR="0042151A" w:rsidRDefault="0042151A" w:rsidP="0042151A">
      <w:pPr>
        <w:pStyle w:val="Heading1"/>
        <w:rPr>
          <w:rFonts w:eastAsiaTheme="minorEastAsia"/>
          <w:sz w:val="28"/>
          <w:szCs w:val="28"/>
        </w:rPr>
      </w:pPr>
      <w:bookmarkStart w:id="8" w:name="_Table_5"/>
      <w:bookmarkEnd w:id="8"/>
      <w:r>
        <w:rPr>
          <w:rFonts w:eastAsiaTheme="minorEastAsia"/>
          <w:sz w:val="28"/>
          <w:szCs w:val="28"/>
        </w:rPr>
        <w:t>Table 5</w:t>
      </w:r>
    </w:p>
    <w:p w14:paraId="593D05D1" w14:textId="2DE78090" w:rsidR="00970949" w:rsidRDefault="0042151A" w:rsidP="00970949">
      <w:r>
        <w:t xml:space="preserve">Table 5: Factor Table for </w:t>
      </w:r>
      <w:proofErr w:type="gramStart"/>
      <w:r>
        <w:t>ARMA(</w:t>
      </w:r>
      <w:proofErr w:type="gramEnd"/>
      <w:r>
        <w:t>3,</w:t>
      </w:r>
      <w:r w:rsidR="00AC7D52">
        <w:t>0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250"/>
        <w:gridCol w:w="1977"/>
        <w:gridCol w:w="2338"/>
      </w:tblGrid>
      <w:tr w:rsidR="00F43A9B" w14:paraId="556C62D4" w14:textId="77777777" w:rsidTr="00576F97">
        <w:tc>
          <w:tcPr>
            <w:tcW w:w="2785" w:type="dxa"/>
          </w:tcPr>
          <w:p w14:paraId="1821CED9" w14:textId="77777777" w:rsidR="00F43A9B" w:rsidRDefault="00F43A9B" w:rsidP="00B53C7F">
            <w:pPr>
              <w:jc w:val="center"/>
            </w:pPr>
            <w:r w:rsidRPr="00D13F13">
              <w:rPr>
                <w:b/>
                <w:bCs/>
              </w:rPr>
              <w:t>Factor</w:t>
            </w:r>
          </w:p>
        </w:tc>
        <w:tc>
          <w:tcPr>
            <w:tcW w:w="2250" w:type="dxa"/>
          </w:tcPr>
          <w:p w14:paraId="64090B3C" w14:textId="77777777" w:rsidR="00F43A9B" w:rsidRDefault="00F43A9B" w:rsidP="00B53C7F">
            <w:pPr>
              <w:jc w:val="center"/>
            </w:pPr>
            <w:r w:rsidRPr="00D13F13">
              <w:rPr>
                <w:b/>
                <w:bCs/>
              </w:rPr>
              <w:t>Roots</w:t>
            </w:r>
          </w:p>
        </w:tc>
        <w:tc>
          <w:tcPr>
            <w:tcW w:w="1977" w:type="dxa"/>
          </w:tcPr>
          <w:p w14:paraId="4A00E3AC" w14:textId="77777777" w:rsidR="00F43A9B" w:rsidRDefault="00F43A9B" w:rsidP="00B53C7F">
            <w:pPr>
              <w:jc w:val="center"/>
            </w:pPr>
            <w:r w:rsidRPr="00D13F13">
              <w:rPr>
                <w:b/>
                <w:bCs/>
              </w:rPr>
              <w:t>Abs Recip</w:t>
            </w:r>
            <w:r>
              <w:rPr>
                <w:b/>
                <w:bCs/>
              </w:rPr>
              <w:t>.</w:t>
            </w:r>
          </w:p>
        </w:tc>
        <w:tc>
          <w:tcPr>
            <w:tcW w:w="2338" w:type="dxa"/>
          </w:tcPr>
          <w:p w14:paraId="1F2B2663" w14:textId="77777777" w:rsidR="00F43A9B" w:rsidRDefault="00F43A9B" w:rsidP="00B53C7F">
            <w:pPr>
              <w:jc w:val="center"/>
            </w:pPr>
            <w:r w:rsidRPr="00D13F13">
              <w:rPr>
                <w:b/>
                <w:bCs/>
              </w:rPr>
              <w:t>Freq</w:t>
            </w:r>
            <w:r>
              <w:rPr>
                <w:b/>
                <w:bCs/>
              </w:rPr>
              <w:t>.</w:t>
            </w:r>
          </w:p>
        </w:tc>
      </w:tr>
      <w:tr w:rsidR="00F43A9B" w14:paraId="1F659E79" w14:textId="77777777" w:rsidTr="00576F97">
        <w:tc>
          <w:tcPr>
            <w:tcW w:w="2785" w:type="dxa"/>
          </w:tcPr>
          <w:p w14:paraId="3A184811" w14:textId="1CB504E5" w:rsidR="00F43A9B" w:rsidRDefault="00F43A9B" w:rsidP="00B53C7F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1-0.8709B</m:t>
                </m:r>
              </m:oMath>
            </m:oMathPara>
          </w:p>
        </w:tc>
        <w:tc>
          <w:tcPr>
            <w:tcW w:w="2250" w:type="dxa"/>
          </w:tcPr>
          <w:p w14:paraId="509180FA" w14:textId="52B16A08" w:rsidR="00F43A9B" w:rsidRDefault="00F43A9B" w:rsidP="00B53C7F">
            <m:oMathPara>
              <m:oMath>
                <m:r>
                  <w:rPr>
                    <w:rFonts w:ascii="Cambria Math" w:hAnsi="Cambria Math"/>
                  </w:rPr>
                  <m:t>1.1482</m:t>
                </m:r>
              </m:oMath>
            </m:oMathPara>
          </w:p>
        </w:tc>
        <w:tc>
          <w:tcPr>
            <w:tcW w:w="1977" w:type="dxa"/>
          </w:tcPr>
          <w:p w14:paraId="790DD7A0" w14:textId="36D71102" w:rsidR="00F43A9B" w:rsidRDefault="00F43A9B" w:rsidP="00B53C7F">
            <m:oMathPara>
              <m:oMath>
                <m:r>
                  <w:rPr>
                    <w:rFonts w:ascii="Cambria Math" w:hAnsi="Cambria Math"/>
                  </w:rPr>
                  <m:t>0.8709</m:t>
                </m:r>
              </m:oMath>
            </m:oMathPara>
          </w:p>
        </w:tc>
        <w:tc>
          <w:tcPr>
            <w:tcW w:w="2338" w:type="dxa"/>
          </w:tcPr>
          <w:p w14:paraId="2316090B" w14:textId="78466B79" w:rsidR="00F43A9B" w:rsidRDefault="00F43A9B" w:rsidP="00B53C7F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43A9B" w14:paraId="7E0E8705" w14:textId="77777777" w:rsidTr="00576F97">
        <w:tc>
          <w:tcPr>
            <w:tcW w:w="2785" w:type="dxa"/>
          </w:tcPr>
          <w:p w14:paraId="187D59A2" w14:textId="2E150353" w:rsidR="00F43A9B" w:rsidRDefault="00F43A9B" w:rsidP="00B53C7F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1+0.5951B+0.4405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50" w:type="dxa"/>
          </w:tcPr>
          <w:p w14:paraId="1BE44EE1" w14:textId="57C3486C" w:rsidR="00F43A9B" w:rsidRDefault="00576F97" w:rsidP="00B53C7F">
            <m:oMathPara>
              <m:oMath>
                <m:r>
                  <w:rPr>
                    <w:rFonts w:ascii="Cambria Math" w:hAnsi="Cambria Math"/>
                  </w:rPr>
                  <m:t>-0.6754-1.3468i</m:t>
                </m:r>
              </m:oMath>
            </m:oMathPara>
          </w:p>
        </w:tc>
        <w:tc>
          <w:tcPr>
            <w:tcW w:w="1977" w:type="dxa"/>
          </w:tcPr>
          <w:p w14:paraId="20B2DBF7" w14:textId="21E1A0A1" w:rsidR="00F43A9B" w:rsidRDefault="00F43A9B" w:rsidP="00B53C7F">
            <m:oMathPara>
              <m:oMath>
                <m:r>
                  <w:rPr>
                    <w:rFonts w:ascii="Cambria Math" w:hAnsi="Cambria Math"/>
                  </w:rPr>
                  <m:t>0.6637</m:t>
                </m:r>
              </m:oMath>
            </m:oMathPara>
          </w:p>
        </w:tc>
        <w:tc>
          <w:tcPr>
            <w:tcW w:w="2338" w:type="dxa"/>
          </w:tcPr>
          <w:p w14:paraId="08AD5E7D" w14:textId="7B042096" w:rsidR="00F43A9B" w:rsidRDefault="00F43A9B" w:rsidP="00B53C7F">
            <m:oMathPara>
              <m:oMath>
                <m:r>
                  <w:rPr>
                    <w:rFonts w:ascii="Cambria Math" w:hAnsi="Cambria Math"/>
                  </w:rPr>
                  <m:t>0.324</m:t>
                </m:r>
              </m:oMath>
            </m:oMathPara>
          </w:p>
        </w:tc>
      </w:tr>
    </w:tbl>
    <w:p w14:paraId="253BD6B3" w14:textId="7CDBC454" w:rsidR="00094B5B" w:rsidRDefault="00094B5B" w:rsidP="00970949"/>
    <w:p w14:paraId="1607BC09" w14:textId="02A2EAEB" w:rsidR="00B2749D" w:rsidRDefault="00B2749D" w:rsidP="00B2749D">
      <w:pPr>
        <w:ind w:firstLine="720"/>
      </w:pPr>
      <w:r>
        <w:t xml:space="preserve">Again, we needed to check </w:t>
      </w:r>
      <w:r w:rsidRPr="00100F5E">
        <w:t>the whiteness of the residuals</w:t>
      </w:r>
      <w:r>
        <w:t xml:space="preserve"> by </w:t>
      </w:r>
      <w:r w:rsidRPr="00100F5E">
        <w:t>inspect</w:t>
      </w:r>
      <w:r>
        <w:t>ing</w:t>
      </w:r>
      <w:r w:rsidRPr="00100F5E">
        <w:t xml:space="preserve"> the back cast residuals from the fitted model.</w:t>
      </w:r>
      <w:r w:rsidR="00BE3D98">
        <w:t xml:space="preserve"> </w:t>
      </w:r>
      <w:hyperlink w:anchor="_Figure_5" w:history="1">
        <w:r w:rsidR="00BE3D98" w:rsidRPr="00FB4ABE">
          <w:rPr>
            <w:rStyle w:val="Hyperlink"/>
          </w:rPr>
          <w:t xml:space="preserve">Figure </w:t>
        </w:r>
        <w:r w:rsidR="0004033C" w:rsidRPr="00FB4ABE">
          <w:rPr>
            <w:rStyle w:val="Hyperlink"/>
          </w:rPr>
          <w:t>5</w:t>
        </w:r>
      </w:hyperlink>
      <w:r w:rsidR="0004033C">
        <w:t xml:space="preserve"> </w:t>
      </w:r>
      <w:r w:rsidRPr="00100F5E">
        <w:t xml:space="preserve">below demonstrates the plotted residuals, the residual </w:t>
      </w:r>
      <w:r w:rsidRPr="00100F5E">
        <w:lastRenderedPageBreak/>
        <w:t>sample autocorrelations, and the residual Parzen spectral density plot</w:t>
      </w:r>
      <w:r>
        <w:t xml:space="preserve"> for the </w:t>
      </w:r>
      <w:proofErr w:type="gramStart"/>
      <w:r w:rsidR="006726D4">
        <w:t>ARMA(</w:t>
      </w:r>
      <w:proofErr w:type="gramEnd"/>
      <w:r w:rsidR="006726D4">
        <w:t>3,0)</w:t>
      </w:r>
      <w:r>
        <w:t xml:space="preserve"> model</w:t>
      </w:r>
      <w:r w:rsidRPr="00100F5E">
        <w:t>.</w:t>
      </w:r>
    </w:p>
    <w:p w14:paraId="79482148" w14:textId="77342373" w:rsidR="00905FDC" w:rsidRDefault="00905FDC" w:rsidP="00905FDC">
      <w:pPr>
        <w:pStyle w:val="Heading1"/>
        <w:rPr>
          <w:sz w:val="28"/>
          <w:szCs w:val="28"/>
        </w:rPr>
      </w:pPr>
      <w:bookmarkStart w:id="9" w:name="_Figure_5"/>
      <w:bookmarkEnd w:id="9"/>
      <w:r>
        <w:rPr>
          <w:sz w:val="28"/>
          <w:szCs w:val="28"/>
        </w:rPr>
        <w:t>Figure 5</w:t>
      </w:r>
    </w:p>
    <w:p w14:paraId="4C3DC8AB" w14:textId="1C5CA9BE" w:rsidR="00905FDC" w:rsidRDefault="00125D61" w:rsidP="00125D61">
      <w:r>
        <w:t xml:space="preserve">Figure 5: </w:t>
      </w:r>
      <w:r w:rsidRPr="00FE02F4">
        <w:t>Residual Plot, Autocorrelations, and Spectral Density</w:t>
      </w:r>
      <w:r>
        <w:t xml:space="preserve"> for </w:t>
      </w:r>
      <w:proofErr w:type="gramStart"/>
      <w:r>
        <w:t>ARMA(</w:t>
      </w:r>
      <w:proofErr w:type="gramEnd"/>
      <w:r>
        <w:t>3,</w:t>
      </w:r>
      <w:r w:rsidR="008913EE">
        <w:t>0</w:t>
      </w:r>
      <w:r>
        <w:t>)</w:t>
      </w:r>
    </w:p>
    <w:p w14:paraId="29E8A834" w14:textId="32DC0EE3" w:rsidR="007E0A81" w:rsidRDefault="002C20CC" w:rsidP="00125D61">
      <w:r>
        <w:rPr>
          <w:noProof/>
        </w:rPr>
        <w:drawing>
          <wp:inline distT="0" distB="0" distL="0" distR="0" wp14:anchorId="74592C9D" wp14:editId="7B4309D1">
            <wp:extent cx="5120640" cy="3200400"/>
            <wp:effectExtent l="0" t="0" r="0" b="0"/>
            <wp:docPr id="5" name="Picture 5" descr="Chart, hist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E9BD" w14:textId="459AD83E" w:rsidR="00034326" w:rsidRDefault="00034326" w:rsidP="00125D61"/>
    <w:p w14:paraId="5C4FC488" w14:textId="29900122" w:rsidR="00034326" w:rsidRDefault="00034326" w:rsidP="00034326">
      <w:pPr>
        <w:ind w:firstLine="720"/>
      </w:pPr>
      <w:r w:rsidRPr="0018070E">
        <w:t xml:space="preserve">From </w:t>
      </w:r>
      <w:hyperlink w:anchor="_Figure_5" w:history="1">
        <w:r w:rsidR="00961D61" w:rsidRPr="00983E44">
          <w:rPr>
            <w:rStyle w:val="Hyperlink"/>
          </w:rPr>
          <w:t>Figure 5</w:t>
        </w:r>
      </w:hyperlink>
      <w:r w:rsidR="00961D61">
        <w:t xml:space="preserve"> </w:t>
      </w:r>
      <w:r w:rsidRPr="0018070E">
        <w:t>we can see that the residuals</w:t>
      </w:r>
      <w:r>
        <w:t xml:space="preserve"> </w:t>
      </w:r>
      <w:r w:rsidR="006503F5">
        <w:t xml:space="preserve">for this model </w:t>
      </w:r>
      <w:r w:rsidRPr="0018070E">
        <w:t xml:space="preserve">appear </w:t>
      </w:r>
      <w:r>
        <w:t>to</w:t>
      </w:r>
      <w:r w:rsidRPr="0018070E">
        <w:t xml:space="preserve"> be </w:t>
      </w:r>
      <w:r w:rsidR="0055118C">
        <w:t>more</w:t>
      </w:r>
      <w:r>
        <w:t xml:space="preserve"> </w:t>
      </w:r>
      <w:r w:rsidRPr="0018070E">
        <w:t>random</w:t>
      </w:r>
      <w:r>
        <w:t xml:space="preserve"> </w:t>
      </w:r>
      <w:r w:rsidR="004C6B16">
        <w:t xml:space="preserve">than the previous </w:t>
      </w:r>
      <w:proofErr w:type="gramStart"/>
      <w:r w:rsidR="004C6B16">
        <w:t>model’s</w:t>
      </w:r>
      <w:proofErr w:type="gramEnd"/>
      <w:r w:rsidRPr="0018070E">
        <w:t xml:space="preserve">, </w:t>
      </w:r>
      <w:r w:rsidR="00122D90">
        <w:t xml:space="preserve">and all </w:t>
      </w:r>
      <w:r w:rsidRPr="0018070E">
        <w:t>the sample autocorrelations stay within the 95% limit lines</w:t>
      </w:r>
      <w:r w:rsidR="002901AD">
        <w:t xml:space="preserve"> this time. </w:t>
      </w:r>
      <w:r w:rsidRPr="0018070E">
        <w:t xml:space="preserve">The </w:t>
      </w:r>
      <w:proofErr w:type="spellStart"/>
      <w:r w:rsidRPr="0018070E">
        <w:t>Ljung</w:t>
      </w:r>
      <w:proofErr w:type="spellEnd"/>
      <w:r w:rsidRPr="0018070E">
        <w:t xml:space="preserve">-Box test results using the </w:t>
      </w:r>
      <w:proofErr w:type="spellStart"/>
      <w:r w:rsidRPr="0018070E">
        <w:t>ljung.wge</w:t>
      </w:r>
      <w:proofErr w:type="spellEnd"/>
      <w:r w:rsidRPr="0018070E">
        <w:t xml:space="preserve"> function for K=24 and K=48 </w:t>
      </w:r>
      <w:proofErr w:type="gramStart"/>
      <w:r w:rsidRPr="0018070E">
        <w:t>were</w:t>
      </w:r>
      <w:proofErr w:type="gramEnd"/>
      <w:r w:rsidRPr="0018070E">
        <w:t xml:space="preserve"> </w:t>
      </w:r>
      <w:r>
        <w:t>also</w:t>
      </w:r>
      <w:r w:rsidRPr="0018070E">
        <w:t xml:space="preserve"> obtained</w:t>
      </w:r>
      <w:r w:rsidR="005A502C">
        <w:t>, and t</w:t>
      </w:r>
      <w:r w:rsidRPr="0018070E">
        <w:t xml:space="preserve">he outputs for both values of K can be seen in </w:t>
      </w:r>
      <w:hyperlink w:anchor="_Table_6_1" w:history="1">
        <w:r w:rsidR="000C6B1D" w:rsidRPr="00D624C4">
          <w:rPr>
            <w:rStyle w:val="Hyperlink"/>
          </w:rPr>
          <w:t>Table 6</w:t>
        </w:r>
      </w:hyperlink>
      <w:r w:rsidR="000C6B1D">
        <w:t xml:space="preserve"> </w:t>
      </w:r>
      <w:r>
        <w:t>and</w:t>
      </w:r>
      <w:r w:rsidR="00EB3D8B">
        <w:t xml:space="preserve"> </w:t>
      </w:r>
      <w:hyperlink w:anchor="_Table_7" w:history="1">
        <w:r w:rsidR="00EB3D8B" w:rsidRPr="00243812">
          <w:rPr>
            <w:rStyle w:val="Hyperlink"/>
          </w:rPr>
          <w:t>Table 7</w:t>
        </w:r>
      </w:hyperlink>
      <w:r w:rsidR="00EB3D8B">
        <w:t xml:space="preserve"> </w:t>
      </w:r>
      <w:r w:rsidRPr="0018070E">
        <w:t>below. As we can see, for both K=24 and K=48, the p-values are considerably greater than α=.05, so we don</w:t>
      </w:r>
      <w:r>
        <w:t>’</w:t>
      </w:r>
      <w:r w:rsidRPr="0018070E">
        <w:t xml:space="preserve">t have evidence to reject the null hypothesis of white noise. Also, based on the plots in the figure and the conducted </w:t>
      </w:r>
      <w:proofErr w:type="spellStart"/>
      <w:r w:rsidRPr="0018070E">
        <w:t>Ljung</w:t>
      </w:r>
      <w:proofErr w:type="spellEnd"/>
      <w:r w:rsidRPr="0018070E">
        <w:t xml:space="preserve">-Box test, it appears that the fitted model does a </w:t>
      </w:r>
      <w:r w:rsidR="006B67AB">
        <w:t>better</w:t>
      </w:r>
      <w:r w:rsidR="008840CA">
        <w:t xml:space="preserve"> </w:t>
      </w:r>
      <w:r w:rsidRPr="0018070E">
        <w:t>job whitening the residuals.</w:t>
      </w:r>
    </w:p>
    <w:p w14:paraId="1DF7B0D9" w14:textId="6F7AE9F6" w:rsidR="001D078F" w:rsidRDefault="001D078F" w:rsidP="001D078F">
      <w:pPr>
        <w:pStyle w:val="Heading1"/>
        <w:jc w:val="center"/>
        <w:rPr>
          <w:rFonts w:eastAsiaTheme="minorEastAsia"/>
        </w:rPr>
      </w:pPr>
      <w:bookmarkStart w:id="10" w:name="_Table_6_1"/>
      <w:bookmarkEnd w:id="10"/>
      <w:r>
        <w:rPr>
          <w:rFonts w:eastAsiaTheme="minorEastAsia"/>
        </w:rPr>
        <w:t xml:space="preserve">Table </w:t>
      </w:r>
      <w:r w:rsidR="00B41057">
        <w:rPr>
          <w:rFonts w:eastAsiaTheme="minorEastAsia"/>
        </w:rPr>
        <w:t>6</w:t>
      </w:r>
    </w:p>
    <w:p w14:paraId="42484814" w14:textId="313CBCA7" w:rsidR="001D078F" w:rsidRPr="00DF1F44" w:rsidRDefault="001D078F" w:rsidP="001D078F">
      <w:pPr>
        <w:jc w:val="center"/>
      </w:pPr>
      <w:r>
        <w:rPr>
          <w:rFonts w:eastAsiaTheme="minorEastAsia"/>
        </w:rPr>
        <w:t xml:space="preserve">Table </w:t>
      </w:r>
      <w:r w:rsidR="00D624C4">
        <w:rPr>
          <w:rFonts w:eastAsiaTheme="minorEastAsia"/>
        </w:rPr>
        <w:t>6</w:t>
      </w:r>
      <w:r>
        <w:rPr>
          <w:rFonts w:eastAsiaTheme="minorEastAsia"/>
        </w:rPr>
        <w:t xml:space="preserve">: </w:t>
      </w:r>
      <w:proofErr w:type="spellStart"/>
      <w:r w:rsidRPr="000974CB">
        <w:rPr>
          <w:rFonts w:eastAsiaTheme="minorEastAsia"/>
        </w:rPr>
        <w:t>Ljung</w:t>
      </w:r>
      <w:proofErr w:type="spellEnd"/>
      <w:r w:rsidRPr="000974CB">
        <w:rPr>
          <w:rFonts w:eastAsiaTheme="minorEastAsia"/>
        </w:rPr>
        <w:t xml:space="preserve">-Box </w:t>
      </w:r>
      <w:r>
        <w:rPr>
          <w:rFonts w:eastAsiaTheme="minorEastAsia"/>
        </w:rPr>
        <w:t xml:space="preserve">Test Result for </w:t>
      </w:r>
      <w:proofErr w:type="gramStart"/>
      <w:r>
        <w:rPr>
          <w:rFonts w:eastAsiaTheme="minorEastAsia"/>
        </w:rPr>
        <w:t>ARMA(</w:t>
      </w:r>
      <w:proofErr w:type="gramEnd"/>
      <w:r>
        <w:rPr>
          <w:rFonts w:eastAsiaTheme="minorEastAsia"/>
        </w:rPr>
        <w:t>3,</w:t>
      </w:r>
      <w:r w:rsidR="00BD5C87">
        <w:rPr>
          <w:rFonts w:eastAsiaTheme="minorEastAsia"/>
        </w:rPr>
        <w:t>0</w:t>
      </w:r>
      <w:r>
        <w:rPr>
          <w:rFonts w:eastAsiaTheme="minorEastAsia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250"/>
      </w:tblGrid>
      <w:tr w:rsidR="001D078F" w14:paraId="6495931D" w14:textId="77777777" w:rsidTr="00B53C7F">
        <w:trPr>
          <w:jc w:val="center"/>
        </w:trPr>
        <w:tc>
          <w:tcPr>
            <w:tcW w:w="985" w:type="dxa"/>
          </w:tcPr>
          <w:p w14:paraId="6A01F989" w14:textId="77777777" w:rsidR="001D078F" w:rsidRDefault="001D078F" w:rsidP="00B53C7F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>
              <w:rPr>
                <w:rFonts w:cstheme="minorHAnsi"/>
                <w:bCs/>
                <w:lang w:eastAsia="en-IN"/>
              </w:rPr>
              <w:t>K</w:t>
            </w:r>
          </w:p>
        </w:tc>
        <w:tc>
          <w:tcPr>
            <w:tcW w:w="1250" w:type="dxa"/>
          </w:tcPr>
          <w:p w14:paraId="68CEE78A" w14:textId="77777777" w:rsidR="001D078F" w:rsidRDefault="001D078F" w:rsidP="00B53C7F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>
              <w:rPr>
                <w:rFonts w:cstheme="minorHAnsi"/>
                <w:bCs/>
                <w:lang w:eastAsia="en-IN"/>
              </w:rPr>
              <w:t>24</w:t>
            </w:r>
          </w:p>
        </w:tc>
      </w:tr>
      <w:tr w:rsidR="001D078F" w14:paraId="05086974" w14:textId="77777777" w:rsidTr="00B53C7F">
        <w:trPr>
          <w:jc w:val="center"/>
        </w:trPr>
        <w:tc>
          <w:tcPr>
            <w:tcW w:w="985" w:type="dxa"/>
          </w:tcPr>
          <w:p w14:paraId="5939B4A6" w14:textId="77777777" w:rsidR="001D078F" w:rsidRDefault="001D078F" w:rsidP="00B53C7F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>
              <w:rPr>
                <w:rFonts w:cstheme="minorHAnsi"/>
                <w:bCs/>
                <w:lang w:eastAsia="en-IN"/>
              </w:rPr>
              <w:t xml:space="preserve">Chi </w:t>
            </w:r>
            <w:proofErr w:type="spellStart"/>
            <w:r>
              <w:rPr>
                <w:rFonts w:cstheme="minorHAnsi"/>
                <w:bCs/>
                <w:lang w:eastAsia="en-IN"/>
              </w:rPr>
              <w:t>Sqr</w:t>
            </w:r>
            <w:proofErr w:type="spellEnd"/>
            <w:r>
              <w:rPr>
                <w:rFonts w:cstheme="minorHAnsi"/>
                <w:bCs/>
                <w:lang w:eastAsia="en-IN"/>
              </w:rPr>
              <w:t>.</w:t>
            </w:r>
          </w:p>
        </w:tc>
        <w:tc>
          <w:tcPr>
            <w:tcW w:w="1250" w:type="dxa"/>
          </w:tcPr>
          <w:p w14:paraId="15D41A7A" w14:textId="4AD1D5F5" w:rsidR="001D078F" w:rsidRDefault="00805C77" w:rsidP="00B53C7F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 w:rsidRPr="00805C77">
              <w:rPr>
                <w:rFonts w:cstheme="minorHAnsi"/>
                <w:bCs/>
                <w:lang w:eastAsia="en-IN"/>
              </w:rPr>
              <w:t>11.75669</w:t>
            </w:r>
          </w:p>
        </w:tc>
      </w:tr>
      <w:tr w:rsidR="001D078F" w14:paraId="54F894D3" w14:textId="77777777" w:rsidTr="00B53C7F">
        <w:trPr>
          <w:jc w:val="center"/>
        </w:trPr>
        <w:tc>
          <w:tcPr>
            <w:tcW w:w="985" w:type="dxa"/>
          </w:tcPr>
          <w:p w14:paraId="2EC24449" w14:textId="77777777" w:rsidR="001D078F" w:rsidRDefault="001D078F" w:rsidP="00B53C7F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>
              <w:rPr>
                <w:rFonts w:cstheme="minorHAnsi"/>
                <w:bCs/>
                <w:lang w:eastAsia="en-IN"/>
              </w:rPr>
              <w:t>DF</w:t>
            </w:r>
          </w:p>
        </w:tc>
        <w:tc>
          <w:tcPr>
            <w:tcW w:w="1250" w:type="dxa"/>
          </w:tcPr>
          <w:p w14:paraId="6DC26063" w14:textId="75FFBA3D" w:rsidR="001D078F" w:rsidRDefault="001A333E" w:rsidP="00B53C7F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>
              <w:rPr>
                <w:rFonts w:cstheme="minorHAnsi"/>
                <w:bCs/>
                <w:lang w:eastAsia="en-IN"/>
              </w:rPr>
              <w:t>21</w:t>
            </w:r>
          </w:p>
        </w:tc>
      </w:tr>
      <w:tr w:rsidR="001D078F" w14:paraId="17B0CBFE" w14:textId="77777777" w:rsidTr="00B53C7F">
        <w:trPr>
          <w:jc w:val="center"/>
        </w:trPr>
        <w:tc>
          <w:tcPr>
            <w:tcW w:w="985" w:type="dxa"/>
          </w:tcPr>
          <w:p w14:paraId="5F723AFE" w14:textId="77777777" w:rsidR="001D078F" w:rsidRDefault="001D078F" w:rsidP="00B53C7F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>
              <w:rPr>
                <w:rFonts w:cstheme="minorHAnsi"/>
                <w:bCs/>
                <w:lang w:eastAsia="en-IN"/>
              </w:rPr>
              <w:t>P Value</w:t>
            </w:r>
          </w:p>
        </w:tc>
        <w:tc>
          <w:tcPr>
            <w:tcW w:w="1250" w:type="dxa"/>
          </w:tcPr>
          <w:p w14:paraId="3C4E0208" w14:textId="5C71315A" w:rsidR="001D078F" w:rsidRDefault="001A333E" w:rsidP="00B53C7F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 w:rsidRPr="001A333E">
              <w:rPr>
                <w:rFonts w:cstheme="minorHAnsi"/>
                <w:bCs/>
                <w:lang w:eastAsia="en-IN"/>
              </w:rPr>
              <w:t>0.9459546</w:t>
            </w:r>
          </w:p>
        </w:tc>
      </w:tr>
    </w:tbl>
    <w:p w14:paraId="748E9601" w14:textId="7EB3B6DF" w:rsidR="001D078F" w:rsidRDefault="001D078F" w:rsidP="001D078F">
      <w:pPr>
        <w:pStyle w:val="Heading1"/>
        <w:jc w:val="center"/>
        <w:rPr>
          <w:rFonts w:eastAsiaTheme="minorEastAsia"/>
        </w:rPr>
      </w:pPr>
      <w:bookmarkStart w:id="11" w:name="_Table_6"/>
      <w:bookmarkStart w:id="12" w:name="_Table_7"/>
      <w:bookmarkEnd w:id="11"/>
      <w:bookmarkEnd w:id="12"/>
      <w:r>
        <w:rPr>
          <w:rFonts w:eastAsiaTheme="minorEastAsia"/>
        </w:rPr>
        <w:t xml:space="preserve">Table </w:t>
      </w:r>
      <w:r w:rsidR="00B41057">
        <w:rPr>
          <w:rFonts w:eastAsiaTheme="minorEastAsia"/>
        </w:rPr>
        <w:t>7</w:t>
      </w:r>
    </w:p>
    <w:p w14:paraId="1D1D9030" w14:textId="5682383B" w:rsidR="001D078F" w:rsidRPr="00F03273" w:rsidRDefault="001D078F" w:rsidP="001D078F">
      <w:pPr>
        <w:jc w:val="center"/>
      </w:pPr>
      <w:r>
        <w:rPr>
          <w:rFonts w:eastAsiaTheme="minorEastAsia"/>
        </w:rPr>
        <w:t xml:space="preserve">Table </w:t>
      </w:r>
      <w:r w:rsidR="00D624C4">
        <w:rPr>
          <w:rFonts w:eastAsiaTheme="minorEastAsia"/>
        </w:rPr>
        <w:t>7</w:t>
      </w:r>
      <w:r>
        <w:rPr>
          <w:rFonts w:eastAsiaTheme="minorEastAsia"/>
        </w:rPr>
        <w:t xml:space="preserve">: </w:t>
      </w:r>
      <w:proofErr w:type="spellStart"/>
      <w:r w:rsidRPr="000974CB">
        <w:rPr>
          <w:rFonts w:eastAsiaTheme="minorEastAsia"/>
        </w:rPr>
        <w:t>Ljung</w:t>
      </w:r>
      <w:proofErr w:type="spellEnd"/>
      <w:r w:rsidRPr="000974CB">
        <w:rPr>
          <w:rFonts w:eastAsiaTheme="minorEastAsia"/>
        </w:rPr>
        <w:t xml:space="preserve">-Box </w:t>
      </w:r>
      <w:r>
        <w:rPr>
          <w:rFonts w:eastAsiaTheme="minorEastAsia"/>
        </w:rPr>
        <w:t xml:space="preserve">Test Result for </w:t>
      </w:r>
      <w:proofErr w:type="gramStart"/>
      <w:r>
        <w:rPr>
          <w:rFonts w:eastAsiaTheme="minorEastAsia"/>
        </w:rPr>
        <w:t>ARMA(</w:t>
      </w:r>
      <w:proofErr w:type="gramEnd"/>
      <w:r>
        <w:rPr>
          <w:rFonts w:eastAsiaTheme="minorEastAsia"/>
        </w:rPr>
        <w:t>3,</w:t>
      </w:r>
      <w:r w:rsidR="00DB179E">
        <w:rPr>
          <w:rFonts w:eastAsiaTheme="minorEastAsia"/>
        </w:rPr>
        <w:t>0</w:t>
      </w:r>
      <w:r>
        <w:rPr>
          <w:rFonts w:eastAsiaTheme="minorEastAsia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250"/>
      </w:tblGrid>
      <w:tr w:rsidR="001D078F" w14:paraId="6D06ED2B" w14:textId="77777777" w:rsidTr="00B53C7F">
        <w:trPr>
          <w:jc w:val="center"/>
        </w:trPr>
        <w:tc>
          <w:tcPr>
            <w:tcW w:w="985" w:type="dxa"/>
          </w:tcPr>
          <w:p w14:paraId="1231439A" w14:textId="77777777" w:rsidR="001D078F" w:rsidRDefault="001D078F" w:rsidP="00B53C7F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>
              <w:rPr>
                <w:rFonts w:cstheme="minorHAnsi"/>
                <w:bCs/>
                <w:lang w:eastAsia="en-IN"/>
              </w:rPr>
              <w:t>K</w:t>
            </w:r>
          </w:p>
        </w:tc>
        <w:tc>
          <w:tcPr>
            <w:tcW w:w="1250" w:type="dxa"/>
          </w:tcPr>
          <w:p w14:paraId="06FB2D56" w14:textId="77777777" w:rsidR="001D078F" w:rsidRDefault="001D078F" w:rsidP="00B53C7F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>
              <w:rPr>
                <w:rFonts w:cstheme="minorHAnsi"/>
                <w:bCs/>
                <w:lang w:eastAsia="en-IN"/>
              </w:rPr>
              <w:t>48</w:t>
            </w:r>
          </w:p>
        </w:tc>
      </w:tr>
      <w:tr w:rsidR="001D078F" w14:paraId="271D034D" w14:textId="77777777" w:rsidTr="00B53C7F">
        <w:trPr>
          <w:jc w:val="center"/>
        </w:trPr>
        <w:tc>
          <w:tcPr>
            <w:tcW w:w="985" w:type="dxa"/>
          </w:tcPr>
          <w:p w14:paraId="3DC57BEA" w14:textId="77777777" w:rsidR="001D078F" w:rsidRDefault="001D078F" w:rsidP="00B53C7F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>
              <w:rPr>
                <w:rFonts w:cstheme="minorHAnsi"/>
                <w:bCs/>
                <w:lang w:eastAsia="en-IN"/>
              </w:rPr>
              <w:lastRenderedPageBreak/>
              <w:t xml:space="preserve">Chi </w:t>
            </w:r>
            <w:proofErr w:type="spellStart"/>
            <w:r>
              <w:rPr>
                <w:rFonts w:cstheme="minorHAnsi"/>
                <w:bCs/>
                <w:lang w:eastAsia="en-IN"/>
              </w:rPr>
              <w:t>Sqr</w:t>
            </w:r>
            <w:proofErr w:type="spellEnd"/>
            <w:r>
              <w:rPr>
                <w:rFonts w:cstheme="minorHAnsi"/>
                <w:bCs/>
                <w:lang w:eastAsia="en-IN"/>
              </w:rPr>
              <w:t>.</w:t>
            </w:r>
          </w:p>
        </w:tc>
        <w:tc>
          <w:tcPr>
            <w:tcW w:w="1250" w:type="dxa"/>
          </w:tcPr>
          <w:p w14:paraId="5C2F8C0F" w14:textId="783C5B45" w:rsidR="001D078F" w:rsidRDefault="00A87F5E" w:rsidP="00B53C7F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 w:rsidRPr="00A87F5E">
              <w:rPr>
                <w:rFonts w:cstheme="minorHAnsi"/>
                <w:bCs/>
                <w:lang w:eastAsia="en-IN"/>
              </w:rPr>
              <w:t>29.02839</w:t>
            </w:r>
          </w:p>
        </w:tc>
      </w:tr>
      <w:tr w:rsidR="001D078F" w14:paraId="461C6BF6" w14:textId="77777777" w:rsidTr="00B53C7F">
        <w:trPr>
          <w:jc w:val="center"/>
        </w:trPr>
        <w:tc>
          <w:tcPr>
            <w:tcW w:w="985" w:type="dxa"/>
          </w:tcPr>
          <w:p w14:paraId="1F147160" w14:textId="77777777" w:rsidR="001D078F" w:rsidRDefault="001D078F" w:rsidP="00B53C7F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>
              <w:rPr>
                <w:rFonts w:cstheme="minorHAnsi"/>
                <w:bCs/>
                <w:lang w:eastAsia="en-IN"/>
              </w:rPr>
              <w:t>DF</w:t>
            </w:r>
          </w:p>
        </w:tc>
        <w:tc>
          <w:tcPr>
            <w:tcW w:w="1250" w:type="dxa"/>
          </w:tcPr>
          <w:p w14:paraId="6E4E1F87" w14:textId="19096430" w:rsidR="001D078F" w:rsidRDefault="001D078F" w:rsidP="00B53C7F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>
              <w:rPr>
                <w:rFonts w:cstheme="minorHAnsi"/>
                <w:bCs/>
                <w:lang w:eastAsia="en-IN"/>
              </w:rPr>
              <w:t>4</w:t>
            </w:r>
            <w:r w:rsidR="00A87F5E">
              <w:rPr>
                <w:rFonts w:cstheme="minorHAnsi"/>
                <w:bCs/>
                <w:lang w:eastAsia="en-IN"/>
              </w:rPr>
              <w:t>5</w:t>
            </w:r>
          </w:p>
        </w:tc>
      </w:tr>
      <w:tr w:rsidR="001D078F" w14:paraId="42D3E33F" w14:textId="77777777" w:rsidTr="00B53C7F">
        <w:trPr>
          <w:jc w:val="center"/>
        </w:trPr>
        <w:tc>
          <w:tcPr>
            <w:tcW w:w="985" w:type="dxa"/>
          </w:tcPr>
          <w:p w14:paraId="4B66A830" w14:textId="77777777" w:rsidR="001D078F" w:rsidRDefault="001D078F" w:rsidP="00B53C7F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>
              <w:rPr>
                <w:rFonts w:cstheme="minorHAnsi"/>
                <w:bCs/>
                <w:lang w:eastAsia="en-IN"/>
              </w:rPr>
              <w:t>P Value</w:t>
            </w:r>
          </w:p>
        </w:tc>
        <w:tc>
          <w:tcPr>
            <w:tcW w:w="1250" w:type="dxa"/>
          </w:tcPr>
          <w:p w14:paraId="3C4F21E3" w14:textId="5B454534" w:rsidR="001D078F" w:rsidRDefault="006A3410" w:rsidP="00B53C7F">
            <w:pPr>
              <w:tabs>
                <w:tab w:val="left" w:pos="756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cstheme="minorHAnsi"/>
                <w:bCs/>
                <w:lang w:eastAsia="en-IN"/>
              </w:rPr>
            </w:pPr>
            <w:r w:rsidRPr="006A3410">
              <w:rPr>
                <w:rFonts w:cstheme="minorHAnsi"/>
                <w:bCs/>
                <w:lang w:eastAsia="en-IN"/>
              </w:rPr>
              <w:t>0.9689315</w:t>
            </w:r>
          </w:p>
        </w:tc>
      </w:tr>
    </w:tbl>
    <w:p w14:paraId="777AD812" w14:textId="77777777" w:rsidR="002213B4" w:rsidRDefault="002213B4" w:rsidP="002213B4">
      <w:pPr>
        <w:rPr>
          <w:rFonts w:cstheme="minorHAnsi"/>
        </w:rPr>
      </w:pPr>
    </w:p>
    <w:p w14:paraId="5D53EF5C" w14:textId="58354335" w:rsidR="002213B4" w:rsidRDefault="002213B4" w:rsidP="002213B4">
      <w:pPr>
        <w:ind w:firstLine="720"/>
        <w:rPr>
          <w:rFonts w:cstheme="minorHAnsi"/>
        </w:rPr>
      </w:pPr>
      <w:r>
        <w:rPr>
          <w:rFonts w:cstheme="minorHAnsi"/>
        </w:rPr>
        <w:t>The model’s forecasting performance was also analyzed and b</w:t>
      </w:r>
      <w:r w:rsidRPr="00B63EB8">
        <w:rPr>
          <w:rFonts w:cstheme="minorHAnsi"/>
        </w:rPr>
        <w:t xml:space="preserve">ased on the </w:t>
      </w:r>
      <w:r>
        <w:rPr>
          <w:rFonts w:cstheme="minorHAnsi"/>
        </w:rPr>
        <w:t xml:space="preserve">forecasting performance </w:t>
      </w:r>
      <w:r w:rsidRPr="00B63EB8">
        <w:rPr>
          <w:rFonts w:cstheme="minorHAnsi"/>
        </w:rPr>
        <w:t xml:space="preserve">plot </w:t>
      </w:r>
      <w:r>
        <w:rPr>
          <w:rFonts w:cstheme="minorHAnsi"/>
        </w:rPr>
        <w:t xml:space="preserve">represented in </w:t>
      </w:r>
      <w:hyperlink w:anchor="_Figure_6" w:history="1">
        <w:r w:rsidR="00096844" w:rsidRPr="00940520">
          <w:rPr>
            <w:rStyle w:val="Hyperlink"/>
            <w:rFonts w:cstheme="minorHAnsi"/>
          </w:rPr>
          <w:t>Figure 6</w:t>
        </w:r>
      </w:hyperlink>
      <w:r w:rsidR="00096844">
        <w:rPr>
          <w:rFonts w:cstheme="minorHAnsi"/>
        </w:rPr>
        <w:t xml:space="preserve"> </w:t>
      </w:r>
      <w:r>
        <w:rPr>
          <w:rFonts w:cstheme="minorHAnsi"/>
        </w:rPr>
        <w:t>below</w:t>
      </w:r>
      <w:r w:rsidRPr="00B63EB8">
        <w:rPr>
          <w:rFonts w:cstheme="minorHAnsi"/>
        </w:rPr>
        <w:t>,</w:t>
      </w:r>
      <w:r>
        <w:rPr>
          <w:rFonts w:cstheme="minorHAnsi"/>
        </w:rPr>
        <w:t xml:space="preserve"> and</w:t>
      </w:r>
      <w:r w:rsidRPr="00B63EB8">
        <w:rPr>
          <w:rFonts w:cstheme="minorHAnsi"/>
        </w:rPr>
        <w:t xml:space="preserve"> the model </w:t>
      </w:r>
      <w:r>
        <w:rPr>
          <w:rFonts w:cstheme="minorHAnsi"/>
        </w:rPr>
        <w:t>doesn’t seem</w:t>
      </w:r>
      <w:r w:rsidRPr="00B63EB8">
        <w:rPr>
          <w:rFonts w:cstheme="minorHAnsi"/>
        </w:rPr>
        <w:t xml:space="preserve"> to </w:t>
      </w:r>
      <w:r>
        <w:rPr>
          <w:rFonts w:cstheme="minorHAnsi"/>
        </w:rPr>
        <w:t>do</w:t>
      </w:r>
      <w:r w:rsidRPr="00B63EB8">
        <w:rPr>
          <w:rFonts w:cstheme="minorHAnsi"/>
        </w:rPr>
        <w:t xml:space="preserve"> </w:t>
      </w:r>
      <w:r>
        <w:rPr>
          <w:rFonts w:cstheme="minorHAnsi"/>
        </w:rPr>
        <w:t>an</w:t>
      </w:r>
      <w:r w:rsidRPr="00B63EB8">
        <w:rPr>
          <w:rFonts w:cstheme="minorHAnsi"/>
        </w:rPr>
        <w:t xml:space="preserve"> appropriate </w:t>
      </w:r>
      <w:r>
        <w:rPr>
          <w:rFonts w:cstheme="minorHAnsi"/>
        </w:rPr>
        <w:t>job</w:t>
      </w:r>
      <w:r w:rsidRPr="00B63EB8">
        <w:rPr>
          <w:rFonts w:cstheme="minorHAnsi"/>
        </w:rPr>
        <w:t xml:space="preserve"> forecasting</w:t>
      </w:r>
      <w:r>
        <w:rPr>
          <w:rFonts w:cstheme="minorHAnsi"/>
        </w:rPr>
        <w:t xml:space="preserve"> </w:t>
      </w:r>
      <w:r w:rsidRPr="00B63EB8">
        <w:rPr>
          <w:rFonts w:cstheme="minorHAnsi"/>
        </w:rPr>
        <w:t>since</w:t>
      </w:r>
      <w:r>
        <w:rPr>
          <w:rFonts w:cstheme="minorHAnsi"/>
        </w:rPr>
        <w:t xml:space="preserve"> </w:t>
      </w:r>
      <w:r w:rsidRPr="00B63EB8">
        <w:rPr>
          <w:rFonts w:cstheme="minorHAnsi"/>
        </w:rPr>
        <w:t xml:space="preserve">the last </w:t>
      </w:r>
      <w:r w:rsidR="00AF0006">
        <w:rPr>
          <w:rFonts w:cstheme="minorHAnsi"/>
        </w:rPr>
        <w:t>10</w:t>
      </w:r>
      <w:r w:rsidRPr="00B63EB8">
        <w:rPr>
          <w:rFonts w:cstheme="minorHAnsi"/>
        </w:rPr>
        <w:t xml:space="preserve"> steps </w:t>
      </w:r>
      <w:r>
        <w:rPr>
          <w:rFonts w:cstheme="minorHAnsi"/>
        </w:rPr>
        <w:t xml:space="preserve">aren’t forecasted </w:t>
      </w:r>
      <w:r w:rsidRPr="00B63EB8">
        <w:rPr>
          <w:rFonts w:cstheme="minorHAnsi"/>
        </w:rPr>
        <w:t>quite well</w:t>
      </w:r>
      <w:r w:rsidR="001268E6">
        <w:rPr>
          <w:rFonts w:cstheme="minorHAnsi"/>
        </w:rPr>
        <w:t xml:space="preserve">, but it does do a somewhat better job than the previous </w:t>
      </w:r>
      <w:r w:rsidR="00E23FF2">
        <w:rPr>
          <w:rFonts w:cstheme="minorHAnsi"/>
        </w:rPr>
        <w:t>ARMA(3,2) model</w:t>
      </w:r>
      <w:r w:rsidR="005E37D5">
        <w:rPr>
          <w:rFonts w:cstheme="minorHAnsi"/>
        </w:rPr>
        <w:t xml:space="preserve"> as t</w:t>
      </w:r>
      <w:r>
        <w:rPr>
          <w:rFonts w:cstheme="minorHAnsi"/>
        </w:rPr>
        <w:t xml:space="preserve">he obtained RMSE and </w:t>
      </w:r>
      <w:r w:rsidRPr="008C2E43">
        <w:rPr>
          <w:rFonts w:cstheme="minorHAnsi"/>
        </w:rPr>
        <w:t>MAD</w:t>
      </w:r>
      <w:r>
        <w:rPr>
          <w:rFonts w:cstheme="minorHAnsi"/>
        </w:rPr>
        <w:t xml:space="preserve"> values </w:t>
      </w:r>
      <w:r w:rsidR="008A5B26">
        <w:rPr>
          <w:rFonts w:cstheme="minorHAnsi"/>
        </w:rPr>
        <w:t xml:space="preserve">were </w:t>
      </w:r>
      <w:r w:rsidR="00617276">
        <w:rPr>
          <w:rFonts w:cstheme="minorHAnsi"/>
        </w:rPr>
        <w:t>slightly</w:t>
      </w:r>
      <w:r w:rsidR="008A5B26">
        <w:rPr>
          <w:rFonts w:cstheme="minorHAnsi"/>
        </w:rPr>
        <w:t xml:space="preserve"> better</w:t>
      </w:r>
      <w:r w:rsidR="00CA3212">
        <w:rPr>
          <w:rFonts w:cstheme="minorHAnsi"/>
        </w:rPr>
        <w:t xml:space="preserve"> at</w:t>
      </w:r>
      <w:r w:rsidR="00C374EA">
        <w:rPr>
          <w:rFonts w:cstheme="minorHAnsi"/>
        </w:rPr>
        <w:t xml:space="preserve"> </w:t>
      </w:r>
      <w:r w:rsidR="00C374EA" w:rsidRPr="003F21B7">
        <w:rPr>
          <w:rFonts w:cstheme="minorHAnsi"/>
          <w:i/>
          <w:iCs/>
        </w:rPr>
        <w:t>7</w:t>
      </w:r>
      <w:r w:rsidR="005E3F78" w:rsidRPr="003F21B7">
        <w:rPr>
          <w:rFonts w:cstheme="minorHAnsi"/>
          <w:i/>
          <w:iCs/>
        </w:rPr>
        <w:t>,</w:t>
      </w:r>
      <w:r w:rsidR="00C374EA" w:rsidRPr="003F21B7">
        <w:rPr>
          <w:rFonts w:cstheme="minorHAnsi"/>
          <w:i/>
          <w:iCs/>
        </w:rPr>
        <w:t>132.2</w:t>
      </w:r>
      <w:r w:rsidR="008F5069" w:rsidRPr="003F21B7">
        <w:rPr>
          <w:rFonts w:cstheme="minorHAnsi"/>
          <w:i/>
          <w:iCs/>
        </w:rPr>
        <w:t>2</w:t>
      </w:r>
      <w:r>
        <w:rPr>
          <w:rFonts w:cstheme="minorHAnsi"/>
        </w:rPr>
        <w:t xml:space="preserve"> and</w:t>
      </w:r>
      <w:r w:rsidR="00C374EA">
        <w:rPr>
          <w:rFonts w:cstheme="minorHAnsi"/>
        </w:rPr>
        <w:t xml:space="preserve"> </w:t>
      </w:r>
      <w:r w:rsidR="00C374EA" w:rsidRPr="002A4EAF">
        <w:rPr>
          <w:rFonts w:cstheme="minorHAnsi"/>
          <w:i/>
          <w:iCs/>
        </w:rPr>
        <w:t>7</w:t>
      </w:r>
      <w:r w:rsidR="00FD56C7" w:rsidRPr="002A4EAF">
        <w:rPr>
          <w:rFonts w:cstheme="minorHAnsi"/>
          <w:i/>
          <w:iCs/>
        </w:rPr>
        <w:t>,</w:t>
      </w:r>
      <w:r w:rsidR="00C374EA" w:rsidRPr="002A4EAF">
        <w:rPr>
          <w:rFonts w:cstheme="minorHAnsi"/>
          <w:i/>
          <w:iCs/>
        </w:rPr>
        <w:t>115.18</w:t>
      </w:r>
      <w:r w:rsidR="008A5B26">
        <w:rPr>
          <w:rFonts w:cstheme="minorHAnsi"/>
        </w:rPr>
        <w:t xml:space="preserve">, </w:t>
      </w:r>
      <w:r>
        <w:rPr>
          <w:rFonts w:cstheme="minorHAnsi"/>
        </w:rPr>
        <w:t>respectively.</w:t>
      </w:r>
    </w:p>
    <w:p w14:paraId="7CC94D3C" w14:textId="19209CE1" w:rsidR="00AE583E" w:rsidRDefault="00AE583E" w:rsidP="00AE583E">
      <w:pPr>
        <w:pStyle w:val="Heading1"/>
        <w:rPr>
          <w:sz w:val="28"/>
          <w:szCs w:val="28"/>
        </w:rPr>
      </w:pPr>
      <w:bookmarkStart w:id="13" w:name="_Figure_6"/>
      <w:bookmarkEnd w:id="13"/>
      <w:r>
        <w:rPr>
          <w:sz w:val="28"/>
          <w:szCs w:val="28"/>
        </w:rPr>
        <w:t>Figure 6</w:t>
      </w:r>
    </w:p>
    <w:p w14:paraId="6066A188" w14:textId="26E0D6A7" w:rsidR="00034326" w:rsidRDefault="00AE583E" w:rsidP="00AE583E">
      <w:r>
        <w:t xml:space="preserve">Figure </w:t>
      </w:r>
      <w:r w:rsidR="00CE34EC">
        <w:t>6</w:t>
      </w:r>
      <w:r>
        <w:t xml:space="preserve">: </w:t>
      </w:r>
      <w:r w:rsidRPr="00313750">
        <w:t xml:space="preserve">Forecasting Performance </w:t>
      </w:r>
      <w:r>
        <w:t xml:space="preserve">for </w:t>
      </w:r>
      <w:proofErr w:type="gramStart"/>
      <w:r>
        <w:t>ARMA(</w:t>
      </w:r>
      <w:proofErr w:type="gramEnd"/>
      <w:r>
        <w:t>3,</w:t>
      </w:r>
      <w:r w:rsidR="00940520">
        <w:t>0</w:t>
      </w:r>
      <w:r>
        <w:t>)</w:t>
      </w:r>
    </w:p>
    <w:p w14:paraId="1A979212" w14:textId="06F13751" w:rsidR="00C02199" w:rsidRDefault="00641AC6" w:rsidP="00AE583E">
      <w:r>
        <w:rPr>
          <w:noProof/>
        </w:rPr>
        <w:drawing>
          <wp:inline distT="0" distB="0" distL="0" distR="0" wp14:anchorId="2336280A" wp14:editId="0F345802">
            <wp:extent cx="5120640" cy="320040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E156" w14:textId="374881F3" w:rsidR="00BE3B5C" w:rsidRDefault="00BE3B5C" w:rsidP="00AE583E"/>
    <w:p w14:paraId="2159C6FF" w14:textId="070ACB78" w:rsidR="00005601" w:rsidRDefault="00BE3B5C" w:rsidP="00005601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 w14:paraId="791F0643" w14:textId="5BD827D8" w:rsidR="00005601" w:rsidRDefault="00005601" w:rsidP="00005601">
      <w:pPr>
        <w:spacing w:line="276" w:lineRule="auto"/>
        <w:rPr>
          <w:b/>
          <w:bCs/>
          <w:sz w:val="28"/>
          <w:szCs w:val="28"/>
        </w:rPr>
      </w:pPr>
    </w:p>
    <w:p w14:paraId="6EC231C9" w14:textId="37603993" w:rsidR="00BE3B5C" w:rsidRDefault="0058168D" w:rsidP="001D0E39">
      <w:pPr>
        <w:spacing w:line="276" w:lineRule="auto"/>
        <w:ind w:firstLine="360"/>
        <w:rPr>
          <w:rFonts w:cstheme="minorHAnsi"/>
        </w:rPr>
      </w:pPr>
      <w:proofErr w:type="gramStart"/>
      <w:r>
        <w:t>ARMA(</w:t>
      </w:r>
      <w:proofErr w:type="gramEnd"/>
      <w:r>
        <w:t>3,2)</w:t>
      </w:r>
      <w:r w:rsidR="00AD3FC9">
        <w:t xml:space="preserve"> and ARMA(3,0) models were both fit to </w:t>
      </w:r>
      <w:r w:rsidR="00AE7DC6">
        <w:t xml:space="preserve">analyze </w:t>
      </w:r>
      <w:r w:rsidR="009B72CA">
        <w:t>B</w:t>
      </w:r>
      <w:r w:rsidR="007345E7">
        <w:t>itcoin</w:t>
      </w:r>
      <w:r w:rsidR="009B72CA">
        <w:t xml:space="preserve"> time series data</w:t>
      </w:r>
      <w:r w:rsidR="00DB32C8">
        <w:t xml:space="preserve">. Between </w:t>
      </w:r>
      <w:r w:rsidR="00E959EF">
        <w:t xml:space="preserve">the competing models, </w:t>
      </w:r>
      <w:r w:rsidR="00C238FE">
        <w:t xml:space="preserve">the </w:t>
      </w:r>
      <w:proofErr w:type="gramStart"/>
      <w:r w:rsidR="00C238FE">
        <w:t>ARMA(</w:t>
      </w:r>
      <w:proofErr w:type="gramEnd"/>
      <w:r w:rsidR="00C238FE">
        <w:t xml:space="preserve">3,0) </w:t>
      </w:r>
      <w:r w:rsidR="00680F39">
        <w:t xml:space="preserve">with the included </w:t>
      </w:r>
      <w:r w:rsidR="00F905EC">
        <w:rPr>
          <w:rFonts w:eastAsiaTheme="minorEastAsia" w:cstheme="minorHAnsi"/>
        </w:rPr>
        <w:t xml:space="preserve">unit root of </w:t>
      </w:r>
      <m:oMath>
        <m:r>
          <w:rPr>
            <w:rFonts w:ascii="Cambria Math" w:eastAsiaTheme="minorEastAsia" w:hAnsi="Cambria Math" w:cs="Times New Roman"/>
          </w:rPr>
          <m:t>1-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</w:rPr>
              <m:t>12</m:t>
            </m:r>
          </m:sup>
        </m:sSup>
      </m:oMath>
      <w:r w:rsidR="00F905EC">
        <w:rPr>
          <w:rFonts w:eastAsiaTheme="minorEastAsia" w:cstheme="minorHAnsi"/>
        </w:rPr>
        <w:t xml:space="preserve"> </w:t>
      </w:r>
      <w:r w:rsidR="007A42FA">
        <w:t>p</w:t>
      </w:r>
      <w:r w:rsidR="00101BE9">
        <w:t>erforms better</w:t>
      </w:r>
      <w:r w:rsidR="001D0E39">
        <w:t xml:space="preserve"> on the transformed and differenced data.</w:t>
      </w:r>
      <w:r w:rsidR="00577591">
        <w:t xml:space="preserve"> The residuals for the </w:t>
      </w:r>
      <w:proofErr w:type="gramStart"/>
      <w:r w:rsidR="00577591">
        <w:t>ARMA(</w:t>
      </w:r>
      <w:proofErr w:type="gramEnd"/>
      <w:r w:rsidR="00577591">
        <w:t xml:space="preserve">3,0) model </w:t>
      </w:r>
      <w:r w:rsidR="00372A08" w:rsidRPr="0018070E">
        <w:t xml:space="preserve">appear </w:t>
      </w:r>
      <w:r w:rsidR="00372A08">
        <w:t>to</w:t>
      </w:r>
      <w:r w:rsidR="00372A08" w:rsidRPr="0018070E">
        <w:t xml:space="preserve"> be </w:t>
      </w:r>
      <w:r w:rsidR="00372A08">
        <w:t xml:space="preserve">more </w:t>
      </w:r>
      <w:r w:rsidR="00372A08" w:rsidRPr="0018070E">
        <w:t>random</w:t>
      </w:r>
      <w:r w:rsidR="00372A08">
        <w:t xml:space="preserve"> than the ARMA(3,2) model’s resi</w:t>
      </w:r>
      <w:r w:rsidR="007264B2">
        <w:t>duals</w:t>
      </w:r>
      <w:r w:rsidR="00372A08" w:rsidRPr="0018070E">
        <w:t xml:space="preserve">, </w:t>
      </w:r>
      <w:r w:rsidR="00372A08">
        <w:t xml:space="preserve">and all </w:t>
      </w:r>
      <w:r w:rsidR="00372A08" w:rsidRPr="0018070E">
        <w:t xml:space="preserve">the sample autocorrelations stay within the 95% limit </w:t>
      </w:r>
      <w:r w:rsidR="0018439C">
        <w:t>lines</w:t>
      </w:r>
      <w:r w:rsidR="00B86CA6">
        <w:t xml:space="preserve"> as well</w:t>
      </w:r>
      <w:r w:rsidR="00372A08">
        <w:t>.</w:t>
      </w:r>
      <w:r w:rsidR="00C84877">
        <w:t xml:space="preserve"> For both models, </w:t>
      </w:r>
      <w:r w:rsidR="00C84877" w:rsidRPr="0018070E">
        <w:t>we don</w:t>
      </w:r>
      <w:r w:rsidR="00C84877">
        <w:t>’</w:t>
      </w:r>
      <w:r w:rsidR="00C84877" w:rsidRPr="0018070E">
        <w:t>t have evidence to reject the null hypothesis of white noise</w:t>
      </w:r>
      <w:r w:rsidR="001268FB">
        <w:t xml:space="preserve">, but the </w:t>
      </w:r>
      <w:proofErr w:type="gramStart"/>
      <w:r w:rsidR="001268FB">
        <w:t>ARMA(</w:t>
      </w:r>
      <w:proofErr w:type="gramEnd"/>
      <w:r w:rsidR="001268FB">
        <w:t>3,0) does a better job</w:t>
      </w:r>
      <w:r w:rsidR="0046492A">
        <w:t xml:space="preserve"> whitening the residuals.</w:t>
      </w:r>
      <w:r w:rsidR="006462FC">
        <w:t xml:space="preserve"> Lastly, although </w:t>
      </w:r>
      <w:r w:rsidR="001254E2">
        <w:t>both models didn’t show great overall forecasting performances</w:t>
      </w:r>
      <w:r w:rsidR="005A47FA">
        <w:t xml:space="preserve">, the </w:t>
      </w:r>
      <w:proofErr w:type="gramStart"/>
      <w:r w:rsidR="005A47FA">
        <w:t>ARMA(</w:t>
      </w:r>
      <w:proofErr w:type="gramEnd"/>
      <w:r w:rsidR="005A47FA">
        <w:t>3,0) model does slightly better</w:t>
      </w:r>
      <w:r w:rsidR="00406125">
        <w:t xml:space="preserve">, especially when comparing </w:t>
      </w:r>
      <w:r w:rsidR="00406125">
        <w:rPr>
          <w:rFonts w:cstheme="minorHAnsi"/>
        </w:rPr>
        <w:t xml:space="preserve">RMSE and </w:t>
      </w:r>
      <w:r w:rsidR="00406125" w:rsidRPr="008C2E43">
        <w:rPr>
          <w:rFonts w:cstheme="minorHAnsi"/>
        </w:rPr>
        <w:t>MAD</w:t>
      </w:r>
      <w:r w:rsidR="00573D15">
        <w:rPr>
          <w:rFonts w:cstheme="minorHAnsi"/>
        </w:rPr>
        <w:t xml:space="preserve"> values</w:t>
      </w:r>
      <w:r w:rsidR="004F30F5">
        <w:rPr>
          <w:rFonts w:cstheme="minorHAnsi"/>
        </w:rPr>
        <w:t>.</w:t>
      </w:r>
    </w:p>
    <w:p w14:paraId="292A9DDD" w14:textId="5FC25CAD" w:rsidR="00970CDE" w:rsidRDefault="00970CDE" w:rsidP="001D0E39">
      <w:pPr>
        <w:spacing w:line="276" w:lineRule="auto"/>
        <w:ind w:firstLine="360"/>
        <w:rPr>
          <w:rFonts w:cstheme="minorHAnsi"/>
        </w:rPr>
      </w:pPr>
      <w:r>
        <w:rPr>
          <w:rFonts w:cstheme="minorHAnsi"/>
        </w:rPr>
        <w:lastRenderedPageBreak/>
        <w:tab/>
      </w:r>
      <w:r w:rsidR="00CA62EB">
        <w:rPr>
          <w:rFonts w:cstheme="minorHAnsi"/>
        </w:rPr>
        <w:t xml:space="preserve">Real world time series data can </w:t>
      </w:r>
      <w:r w:rsidR="000560EC">
        <w:rPr>
          <w:rFonts w:cstheme="minorHAnsi"/>
        </w:rPr>
        <w:t xml:space="preserve">be </w:t>
      </w:r>
      <w:r w:rsidR="00CA62EB">
        <w:rPr>
          <w:rFonts w:cstheme="minorHAnsi"/>
        </w:rPr>
        <w:t xml:space="preserve">very </w:t>
      </w:r>
      <w:r w:rsidR="00793339">
        <w:rPr>
          <w:rFonts w:cstheme="minorHAnsi"/>
        </w:rPr>
        <w:t>difficult</w:t>
      </w:r>
      <w:r w:rsidR="00CA62EB">
        <w:rPr>
          <w:rFonts w:cstheme="minorHAnsi"/>
        </w:rPr>
        <w:t xml:space="preserve"> to analyze, however </w:t>
      </w:r>
      <w:r w:rsidR="00A43320">
        <w:rPr>
          <w:rFonts w:cstheme="minorHAnsi"/>
        </w:rPr>
        <w:t xml:space="preserve">practical and industry-changing </w:t>
      </w:r>
      <w:r w:rsidR="002D5677">
        <w:rPr>
          <w:rFonts w:cstheme="minorHAnsi"/>
        </w:rPr>
        <w:t xml:space="preserve">conclusions can be made if done </w:t>
      </w:r>
      <w:r w:rsidR="006959FE">
        <w:rPr>
          <w:rFonts w:cstheme="minorHAnsi"/>
        </w:rPr>
        <w:t xml:space="preserve">so </w:t>
      </w:r>
      <w:r w:rsidR="002D5677">
        <w:rPr>
          <w:rFonts w:cstheme="minorHAnsi"/>
        </w:rPr>
        <w:t>correctly.</w:t>
      </w:r>
      <w:r w:rsidR="004E3F28">
        <w:rPr>
          <w:rFonts w:cstheme="minorHAnsi"/>
        </w:rPr>
        <w:t xml:space="preserve"> </w:t>
      </w:r>
      <w:r w:rsidR="000C4F1C">
        <w:rPr>
          <w:rFonts w:cstheme="minorHAnsi"/>
        </w:rPr>
        <w:t>For Bitcoin data,</w:t>
      </w:r>
      <w:r w:rsidR="00F11B81">
        <w:rPr>
          <w:rFonts w:cstheme="minorHAnsi"/>
        </w:rPr>
        <w:t xml:space="preserve"> the </w:t>
      </w:r>
      <w:r w:rsidR="00A31961">
        <w:rPr>
          <w:rFonts w:cstheme="minorHAnsi"/>
        </w:rPr>
        <w:t>sudden</w:t>
      </w:r>
      <w:r w:rsidR="006914AB">
        <w:rPr>
          <w:rFonts w:cstheme="minorHAnsi"/>
        </w:rPr>
        <w:t xml:space="preserve"> and</w:t>
      </w:r>
      <w:r w:rsidR="00A31961">
        <w:rPr>
          <w:rFonts w:cstheme="minorHAnsi"/>
        </w:rPr>
        <w:t xml:space="preserve"> massive</w:t>
      </w:r>
      <w:r w:rsidR="005852D0">
        <w:rPr>
          <w:rFonts w:cstheme="minorHAnsi"/>
        </w:rPr>
        <w:t xml:space="preserve"> price</w:t>
      </w:r>
      <w:r w:rsidR="00A31961">
        <w:rPr>
          <w:rFonts w:cstheme="minorHAnsi"/>
        </w:rPr>
        <w:t xml:space="preserve"> increase</w:t>
      </w:r>
      <w:r w:rsidR="006B6968">
        <w:rPr>
          <w:rFonts w:cstheme="minorHAnsi"/>
        </w:rPr>
        <w:t>s</w:t>
      </w:r>
      <w:r w:rsidR="00C14CAC">
        <w:rPr>
          <w:rFonts w:cstheme="minorHAnsi"/>
        </w:rPr>
        <w:t xml:space="preserve"> </w:t>
      </w:r>
      <w:r w:rsidR="003E3C61">
        <w:rPr>
          <w:rFonts w:cstheme="minorHAnsi"/>
        </w:rPr>
        <w:t xml:space="preserve">have been </w:t>
      </w:r>
      <w:r w:rsidR="007F37CD">
        <w:rPr>
          <w:rFonts w:cstheme="minorHAnsi"/>
        </w:rPr>
        <w:t>unprecedented</w:t>
      </w:r>
      <w:r w:rsidR="003E3C61">
        <w:rPr>
          <w:rFonts w:cstheme="minorHAnsi"/>
        </w:rPr>
        <w:t xml:space="preserve">, </w:t>
      </w:r>
      <w:r w:rsidR="007A3748">
        <w:rPr>
          <w:rFonts w:cstheme="minorHAnsi"/>
        </w:rPr>
        <w:t>especially</w:t>
      </w:r>
      <w:r w:rsidR="003E3C61">
        <w:rPr>
          <w:rFonts w:cstheme="minorHAnsi"/>
        </w:rPr>
        <w:t xml:space="preserve"> </w:t>
      </w:r>
      <w:r w:rsidR="007F24EA">
        <w:rPr>
          <w:rFonts w:cstheme="minorHAnsi"/>
        </w:rPr>
        <w:t xml:space="preserve">within the </w:t>
      </w:r>
      <w:r w:rsidR="00960031">
        <w:rPr>
          <w:rFonts w:cstheme="minorHAnsi"/>
        </w:rPr>
        <w:t>l</w:t>
      </w:r>
      <w:r w:rsidR="007F24EA">
        <w:rPr>
          <w:rFonts w:cstheme="minorHAnsi"/>
        </w:rPr>
        <w:t>ast year or so</w:t>
      </w:r>
      <w:r w:rsidR="00BD2047">
        <w:rPr>
          <w:rFonts w:cstheme="minorHAnsi"/>
        </w:rPr>
        <w:t>. H</w:t>
      </w:r>
      <w:r w:rsidR="002F6246">
        <w:rPr>
          <w:rFonts w:cstheme="minorHAnsi"/>
        </w:rPr>
        <w:t>owever, b</w:t>
      </w:r>
      <w:r w:rsidR="00D552B5">
        <w:rPr>
          <w:rFonts w:cstheme="minorHAnsi"/>
        </w:rPr>
        <w:t>efore th</w:t>
      </w:r>
      <w:r w:rsidR="003B1583">
        <w:rPr>
          <w:rFonts w:cstheme="minorHAnsi"/>
        </w:rPr>
        <w:t>e most</w:t>
      </w:r>
      <w:r w:rsidR="00D552B5">
        <w:rPr>
          <w:rFonts w:cstheme="minorHAnsi"/>
        </w:rPr>
        <w:t xml:space="preserve"> </w:t>
      </w:r>
      <w:r w:rsidR="00A43A5E">
        <w:rPr>
          <w:rFonts w:cstheme="minorHAnsi"/>
        </w:rPr>
        <w:t xml:space="preserve">recent </w:t>
      </w:r>
      <w:r w:rsidR="00D552B5">
        <w:rPr>
          <w:rFonts w:cstheme="minorHAnsi"/>
        </w:rPr>
        <w:t>sudden</w:t>
      </w:r>
      <w:r w:rsidR="002A01B6">
        <w:rPr>
          <w:rFonts w:cstheme="minorHAnsi"/>
        </w:rPr>
        <w:t xml:space="preserve"> price</w:t>
      </w:r>
      <w:r w:rsidR="00D552B5">
        <w:rPr>
          <w:rFonts w:cstheme="minorHAnsi"/>
        </w:rPr>
        <w:t xml:space="preserve"> increase</w:t>
      </w:r>
      <w:r w:rsidR="005247EE">
        <w:rPr>
          <w:rFonts w:cstheme="minorHAnsi"/>
        </w:rPr>
        <w:t>s</w:t>
      </w:r>
      <w:r w:rsidR="00E13E41">
        <w:rPr>
          <w:rFonts w:cstheme="minorHAnsi"/>
        </w:rPr>
        <w:t>,</w:t>
      </w:r>
      <w:r w:rsidR="00EB7C90">
        <w:rPr>
          <w:rFonts w:cstheme="minorHAnsi"/>
        </w:rPr>
        <w:t xml:space="preserve"> </w:t>
      </w:r>
      <w:r w:rsidR="00901DA8">
        <w:rPr>
          <w:rFonts w:cstheme="minorHAnsi"/>
        </w:rPr>
        <w:t>the COVID pandemic</w:t>
      </w:r>
      <w:r w:rsidR="00C17523">
        <w:rPr>
          <w:rFonts w:cstheme="minorHAnsi"/>
        </w:rPr>
        <w:t xml:space="preserve"> had a </w:t>
      </w:r>
      <w:r w:rsidR="00403A37">
        <w:rPr>
          <w:rFonts w:cstheme="minorHAnsi"/>
        </w:rPr>
        <w:t>drastic impact on B</w:t>
      </w:r>
      <w:r w:rsidR="007E77A4">
        <w:rPr>
          <w:rFonts w:cstheme="minorHAnsi"/>
        </w:rPr>
        <w:t>itcoin</w:t>
      </w:r>
      <w:r w:rsidR="00403A37">
        <w:rPr>
          <w:rFonts w:cstheme="minorHAnsi"/>
        </w:rPr>
        <w:t xml:space="preserve"> prices and financial markets in general</w:t>
      </w:r>
      <w:r w:rsidR="00E54F58">
        <w:rPr>
          <w:rFonts w:cstheme="minorHAnsi"/>
        </w:rPr>
        <w:t xml:space="preserve">, and we can see that this is </w:t>
      </w:r>
      <w:r w:rsidR="00802361">
        <w:rPr>
          <w:rFonts w:cstheme="minorHAnsi"/>
        </w:rPr>
        <w:t>greatly</w:t>
      </w:r>
      <w:r w:rsidR="00870875">
        <w:rPr>
          <w:rFonts w:cstheme="minorHAnsi"/>
        </w:rPr>
        <w:t xml:space="preserve"> </w:t>
      </w:r>
      <w:r w:rsidR="00E54F58">
        <w:rPr>
          <w:rFonts w:cstheme="minorHAnsi"/>
        </w:rPr>
        <w:t xml:space="preserve">evident </w:t>
      </w:r>
      <w:r w:rsidR="004746AD">
        <w:rPr>
          <w:rFonts w:cstheme="minorHAnsi"/>
        </w:rPr>
        <w:t xml:space="preserve">for BTC </w:t>
      </w:r>
      <w:r w:rsidR="00E54F58">
        <w:rPr>
          <w:rFonts w:cstheme="minorHAnsi"/>
        </w:rPr>
        <w:t>within the data</w:t>
      </w:r>
      <w:r w:rsidR="00D16144">
        <w:rPr>
          <w:rFonts w:cstheme="minorHAnsi"/>
        </w:rPr>
        <w:t xml:space="preserve"> as well</w:t>
      </w:r>
      <w:r w:rsidR="00643497">
        <w:rPr>
          <w:rFonts w:cstheme="minorHAnsi"/>
        </w:rPr>
        <w:t xml:space="preserve">. Throughout its cycle, Bitcoin seems to </w:t>
      </w:r>
      <w:r w:rsidR="00C16273">
        <w:rPr>
          <w:rFonts w:cstheme="minorHAnsi"/>
        </w:rPr>
        <w:t xml:space="preserve">have </w:t>
      </w:r>
      <w:r w:rsidR="00643497">
        <w:rPr>
          <w:rFonts w:cstheme="minorHAnsi"/>
        </w:rPr>
        <w:t>go</w:t>
      </w:r>
      <w:r w:rsidR="00C16273">
        <w:rPr>
          <w:rFonts w:cstheme="minorHAnsi"/>
        </w:rPr>
        <w:t>ne</w:t>
      </w:r>
      <w:r w:rsidR="00643497">
        <w:rPr>
          <w:rFonts w:cstheme="minorHAnsi"/>
        </w:rPr>
        <w:t xml:space="preserve"> through “stagnant” phases where prices per share don’t change too much on average</w:t>
      </w:r>
      <w:r w:rsidR="007719B9">
        <w:rPr>
          <w:rFonts w:cstheme="minorHAnsi"/>
        </w:rPr>
        <w:t>, however</w:t>
      </w:r>
      <w:r w:rsidR="0094742F">
        <w:rPr>
          <w:rFonts w:cstheme="minorHAnsi"/>
        </w:rPr>
        <w:t>,</w:t>
      </w:r>
      <w:r w:rsidR="007719B9">
        <w:rPr>
          <w:rFonts w:cstheme="minorHAnsi"/>
        </w:rPr>
        <w:t xml:space="preserve"> </w:t>
      </w:r>
      <w:proofErr w:type="gramStart"/>
      <w:r w:rsidR="007719B9">
        <w:rPr>
          <w:rFonts w:cstheme="minorHAnsi"/>
        </w:rPr>
        <w:t>massive</w:t>
      </w:r>
      <w:proofErr w:type="gramEnd"/>
      <w:r w:rsidR="00A61F5B">
        <w:rPr>
          <w:rFonts w:cstheme="minorHAnsi"/>
        </w:rPr>
        <w:t xml:space="preserve"> and </w:t>
      </w:r>
      <w:r w:rsidR="000D353E">
        <w:rPr>
          <w:rFonts w:cstheme="minorHAnsi"/>
        </w:rPr>
        <w:t>sudden</w:t>
      </w:r>
      <w:r w:rsidR="007719B9">
        <w:rPr>
          <w:rFonts w:cstheme="minorHAnsi"/>
        </w:rPr>
        <w:t xml:space="preserve"> price increases</w:t>
      </w:r>
      <w:r w:rsidR="00F945F5">
        <w:rPr>
          <w:rFonts w:cstheme="minorHAnsi"/>
        </w:rPr>
        <w:t xml:space="preserve"> also seem to occur </w:t>
      </w:r>
      <w:r w:rsidR="00AA4852">
        <w:rPr>
          <w:rFonts w:cstheme="minorHAnsi"/>
        </w:rPr>
        <w:t xml:space="preserve">every few years or so. </w:t>
      </w:r>
      <w:r w:rsidR="00D973BB">
        <w:rPr>
          <w:rFonts w:cstheme="minorHAnsi"/>
        </w:rPr>
        <w:t>This can be attributed to various geopolitical and other economic factors, but one significant impact on BTC pric</w:t>
      </w:r>
      <w:r w:rsidR="002E3B3E">
        <w:rPr>
          <w:rFonts w:cstheme="minorHAnsi"/>
        </w:rPr>
        <w:t>ing</w:t>
      </w:r>
      <w:r w:rsidR="00D973BB">
        <w:rPr>
          <w:rFonts w:cstheme="minorHAnsi"/>
        </w:rPr>
        <w:t xml:space="preserve"> has been a </w:t>
      </w:r>
      <w:r w:rsidR="00CB2FC8">
        <w:rPr>
          <w:rFonts w:cstheme="minorHAnsi"/>
        </w:rPr>
        <w:t>process</w:t>
      </w:r>
      <w:r w:rsidR="00D973BB">
        <w:rPr>
          <w:rFonts w:cstheme="minorHAnsi"/>
        </w:rPr>
        <w:t xml:space="preserve"> called </w:t>
      </w:r>
      <w:r w:rsidR="00D973BB" w:rsidRPr="00D973BB">
        <w:rPr>
          <w:rFonts w:cstheme="minorHAnsi"/>
        </w:rPr>
        <w:t>"Bitcoin halving</w:t>
      </w:r>
      <w:r w:rsidR="00D973BB">
        <w:rPr>
          <w:rFonts w:cstheme="minorHAnsi"/>
        </w:rPr>
        <w:t>.</w:t>
      </w:r>
      <w:r w:rsidR="00D973BB" w:rsidRPr="00D973BB">
        <w:rPr>
          <w:rFonts w:cstheme="minorHAnsi"/>
        </w:rPr>
        <w:t>"</w:t>
      </w:r>
      <w:r w:rsidR="00F945F5">
        <w:rPr>
          <w:rFonts w:cstheme="minorHAnsi"/>
        </w:rPr>
        <w:t xml:space="preserve"> </w:t>
      </w:r>
      <w:r w:rsidR="00521CA2">
        <w:rPr>
          <w:rFonts w:cstheme="minorHAnsi"/>
        </w:rPr>
        <w:t xml:space="preserve">Essentially, </w:t>
      </w:r>
      <w:r w:rsidR="00B6325B">
        <w:rPr>
          <w:rFonts w:cstheme="minorHAnsi"/>
        </w:rPr>
        <w:t xml:space="preserve">new </w:t>
      </w:r>
      <w:r w:rsidR="007209C1">
        <w:rPr>
          <w:rFonts w:cstheme="minorHAnsi"/>
        </w:rPr>
        <w:t>“</w:t>
      </w:r>
      <w:r w:rsidR="0039227B">
        <w:rPr>
          <w:rFonts w:cstheme="minorHAnsi"/>
        </w:rPr>
        <w:t>B</w:t>
      </w:r>
      <w:r w:rsidR="00B6325B">
        <w:rPr>
          <w:rFonts w:cstheme="minorHAnsi"/>
        </w:rPr>
        <w:t>itcoins”</w:t>
      </w:r>
      <w:r w:rsidR="007209C1">
        <w:rPr>
          <w:rFonts w:cstheme="minorHAnsi"/>
        </w:rPr>
        <w:t xml:space="preserve"> are introduced </w:t>
      </w:r>
      <w:r w:rsidR="0020724E">
        <w:rPr>
          <w:rFonts w:cstheme="minorHAnsi"/>
        </w:rPr>
        <w:t>to</w:t>
      </w:r>
      <w:r w:rsidR="007209C1">
        <w:rPr>
          <w:rFonts w:cstheme="minorHAnsi"/>
        </w:rPr>
        <w:t xml:space="preserve"> the market </w:t>
      </w:r>
      <w:r w:rsidR="0020724E">
        <w:rPr>
          <w:rFonts w:cstheme="minorHAnsi"/>
        </w:rPr>
        <w:t xml:space="preserve">by </w:t>
      </w:r>
      <w:r w:rsidR="00B164D0">
        <w:rPr>
          <w:rFonts w:cstheme="minorHAnsi"/>
        </w:rPr>
        <w:t>“</w:t>
      </w:r>
      <w:r w:rsidR="008D5765">
        <w:rPr>
          <w:rFonts w:cstheme="minorHAnsi"/>
        </w:rPr>
        <w:t>B</w:t>
      </w:r>
      <w:r w:rsidR="00BE5DE8" w:rsidRPr="00BE5DE8">
        <w:rPr>
          <w:rFonts w:cstheme="minorHAnsi"/>
        </w:rPr>
        <w:t>itcoin mining,</w:t>
      </w:r>
      <w:r w:rsidR="00667472">
        <w:rPr>
          <w:rFonts w:cstheme="minorHAnsi"/>
        </w:rPr>
        <w:t>”</w:t>
      </w:r>
      <w:r w:rsidR="00BE5DE8" w:rsidRPr="00BE5DE8">
        <w:rPr>
          <w:rFonts w:cstheme="minorHAnsi"/>
        </w:rPr>
        <w:t xml:space="preserve"> which is a process that's done by verifying </w:t>
      </w:r>
      <w:r w:rsidR="009A5C9F">
        <w:rPr>
          <w:rFonts w:cstheme="minorHAnsi"/>
        </w:rPr>
        <w:t>B</w:t>
      </w:r>
      <w:r w:rsidR="00BE5DE8" w:rsidRPr="00BE5DE8">
        <w:rPr>
          <w:rFonts w:cstheme="minorHAnsi"/>
        </w:rPr>
        <w:t>itcoin blocks or transactions</w:t>
      </w:r>
      <w:r w:rsidR="001B0F7C">
        <w:rPr>
          <w:rFonts w:cstheme="minorHAnsi"/>
        </w:rPr>
        <w:t xml:space="preserve">, and miners </w:t>
      </w:r>
      <w:r w:rsidR="00261264">
        <w:rPr>
          <w:rFonts w:cstheme="minorHAnsi"/>
        </w:rPr>
        <w:t xml:space="preserve">can </w:t>
      </w:r>
      <w:r w:rsidR="00BD40C3">
        <w:rPr>
          <w:rFonts w:cstheme="minorHAnsi"/>
        </w:rPr>
        <w:t>obtain</w:t>
      </w:r>
      <w:r w:rsidR="0008491F" w:rsidRPr="0008491F">
        <w:rPr>
          <w:rFonts w:cstheme="minorHAnsi"/>
        </w:rPr>
        <w:t xml:space="preserve"> </w:t>
      </w:r>
      <w:r w:rsidR="00BD40C3" w:rsidRPr="0008491F">
        <w:rPr>
          <w:rFonts w:cstheme="minorHAnsi"/>
        </w:rPr>
        <w:t>6.25 BTC</w:t>
      </w:r>
      <w:r w:rsidR="00844D75">
        <w:rPr>
          <w:rFonts w:cstheme="minorHAnsi"/>
        </w:rPr>
        <w:t xml:space="preserve"> as </w:t>
      </w:r>
      <w:r w:rsidR="003A7843">
        <w:rPr>
          <w:rFonts w:cstheme="minorHAnsi"/>
        </w:rPr>
        <w:t xml:space="preserve">a </w:t>
      </w:r>
      <w:r w:rsidR="00844D75">
        <w:rPr>
          <w:rFonts w:cstheme="minorHAnsi"/>
        </w:rPr>
        <w:t>reward</w:t>
      </w:r>
      <w:r w:rsidR="00BD40C3" w:rsidRPr="0008491F">
        <w:rPr>
          <w:rFonts w:cstheme="minorHAnsi"/>
        </w:rPr>
        <w:t xml:space="preserve"> </w:t>
      </w:r>
      <w:r w:rsidR="00BD40C3">
        <w:rPr>
          <w:rFonts w:cstheme="minorHAnsi"/>
        </w:rPr>
        <w:t xml:space="preserve">by </w:t>
      </w:r>
      <w:r w:rsidR="0008491F" w:rsidRPr="0008491F">
        <w:rPr>
          <w:rFonts w:cstheme="minorHAnsi"/>
        </w:rPr>
        <w:t>verify</w:t>
      </w:r>
      <w:r w:rsidR="008D5EAC">
        <w:rPr>
          <w:rFonts w:cstheme="minorHAnsi"/>
        </w:rPr>
        <w:t>ing</w:t>
      </w:r>
      <w:r w:rsidR="0008491F" w:rsidRPr="0008491F">
        <w:rPr>
          <w:rFonts w:cstheme="minorHAnsi"/>
        </w:rPr>
        <w:t xml:space="preserve"> </w:t>
      </w:r>
      <w:r w:rsidR="008D5EAC">
        <w:rPr>
          <w:rFonts w:cstheme="minorHAnsi"/>
        </w:rPr>
        <w:t>a single</w:t>
      </w:r>
      <w:r w:rsidR="0008491F" w:rsidRPr="0008491F">
        <w:rPr>
          <w:rFonts w:cstheme="minorHAnsi"/>
        </w:rPr>
        <w:t xml:space="preserve"> block of transactions and add</w:t>
      </w:r>
      <w:r w:rsidR="00743EBC">
        <w:rPr>
          <w:rFonts w:cstheme="minorHAnsi"/>
        </w:rPr>
        <w:t>ing</w:t>
      </w:r>
      <w:r w:rsidR="0008491F" w:rsidRPr="0008491F">
        <w:rPr>
          <w:rFonts w:cstheme="minorHAnsi"/>
        </w:rPr>
        <w:t xml:space="preserve"> it to the </w:t>
      </w:r>
      <w:r w:rsidR="00743EBC">
        <w:rPr>
          <w:rFonts w:cstheme="minorHAnsi"/>
        </w:rPr>
        <w:t>BTC</w:t>
      </w:r>
      <w:r w:rsidR="0008491F" w:rsidRPr="0008491F">
        <w:rPr>
          <w:rFonts w:cstheme="minorHAnsi"/>
        </w:rPr>
        <w:t xml:space="preserve"> network</w:t>
      </w:r>
      <w:r w:rsidR="00657A86">
        <w:rPr>
          <w:rFonts w:cstheme="minorHAnsi"/>
        </w:rPr>
        <w:t>.</w:t>
      </w:r>
      <w:r w:rsidR="008D49D9">
        <w:rPr>
          <w:rFonts w:cstheme="minorHAnsi"/>
        </w:rPr>
        <w:t xml:space="preserve"> T</w:t>
      </w:r>
      <w:r w:rsidR="008D49D9" w:rsidRPr="008D49D9">
        <w:rPr>
          <w:rFonts w:cstheme="minorHAnsi"/>
        </w:rPr>
        <w:t>h</w:t>
      </w:r>
      <w:r w:rsidR="00E06A25">
        <w:rPr>
          <w:rFonts w:cstheme="minorHAnsi"/>
        </w:rPr>
        <w:t>e</w:t>
      </w:r>
      <w:r w:rsidR="008D49D9" w:rsidRPr="008D49D9">
        <w:rPr>
          <w:rFonts w:cstheme="minorHAnsi"/>
        </w:rPr>
        <w:t xml:space="preserve"> </w:t>
      </w:r>
      <w:r w:rsidR="00E06A25">
        <w:rPr>
          <w:rFonts w:cstheme="minorHAnsi"/>
        </w:rPr>
        <w:t xml:space="preserve">amount miners get paid </w:t>
      </w:r>
      <w:r w:rsidR="005412B1">
        <w:rPr>
          <w:rFonts w:cstheme="minorHAnsi"/>
        </w:rPr>
        <w:t xml:space="preserve">is reduced </w:t>
      </w:r>
      <w:r w:rsidR="00FD566E">
        <w:rPr>
          <w:rFonts w:cstheme="minorHAnsi"/>
        </w:rPr>
        <w:t>by</w:t>
      </w:r>
      <w:r w:rsidR="005412B1">
        <w:rPr>
          <w:rFonts w:cstheme="minorHAnsi"/>
        </w:rPr>
        <w:t xml:space="preserve"> half</w:t>
      </w:r>
      <w:r w:rsidR="008D49D9" w:rsidRPr="008D49D9">
        <w:rPr>
          <w:rFonts w:cstheme="minorHAnsi"/>
        </w:rPr>
        <w:t xml:space="preserve"> </w:t>
      </w:r>
      <w:r w:rsidR="00917FDB" w:rsidRPr="008D49D9">
        <w:rPr>
          <w:rFonts w:cstheme="minorHAnsi"/>
        </w:rPr>
        <w:t>approximately</w:t>
      </w:r>
      <w:r w:rsidR="008D49D9" w:rsidRPr="008D49D9">
        <w:rPr>
          <w:rFonts w:cstheme="minorHAnsi"/>
        </w:rPr>
        <w:t xml:space="preserve"> every four years, or after every 210,000 blocks </w:t>
      </w:r>
      <w:r w:rsidR="008D46CB">
        <w:rPr>
          <w:rFonts w:cstheme="minorHAnsi"/>
        </w:rPr>
        <w:t>are</w:t>
      </w:r>
      <w:r w:rsidR="008D49D9" w:rsidRPr="008D49D9">
        <w:rPr>
          <w:rFonts w:cstheme="minorHAnsi"/>
        </w:rPr>
        <w:t xml:space="preserve"> mined</w:t>
      </w:r>
      <w:r w:rsidR="00B40AE7">
        <w:rPr>
          <w:rFonts w:cstheme="minorHAnsi"/>
        </w:rPr>
        <w:t xml:space="preserve">, which in turn </w:t>
      </w:r>
      <w:r w:rsidR="00A50A6B">
        <w:rPr>
          <w:rFonts w:cstheme="minorHAnsi"/>
        </w:rPr>
        <w:t xml:space="preserve">causes prices to skyrocket as </w:t>
      </w:r>
      <w:r w:rsidR="002A77D3">
        <w:rPr>
          <w:rFonts w:cstheme="minorHAnsi"/>
        </w:rPr>
        <w:t>supply decreases and demand increases</w:t>
      </w:r>
      <w:r w:rsidR="00AA360F">
        <w:rPr>
          <w:rFonts w:cstheme="minorHAnsi"/>
        </w:rPr>
        <w:t>. This</w:t>
      </w:r>
      <w:r w:rsidR="00AE22BE">
        <w:rPr>
          <w:rFonts w:cstheme="minorHAnsi"/>
        </w:rPr>
        <w:t xml:space="preserve"> is</w:t>
      </w:r>
      <w:r w:rsidR="00AA360F">
        <w:rPr>
          <w:rFonts w:cstheme="minorHAnsi"/>
        </w:rPr>
        <w:t xml:space="preserve"> also</w:t>
      </w:r>
      <w:r w:rsidR="00AE22BE">
        <w:rPr>
          <w:rFonts w:cstheme="minorHAnsi"/>
        </w:rPr>
        <w:t xml:space="preserve"> evident in the data</w:t>
      </w:r>
      <w:r w:rsidR="00055366">
        <w:rPr>
          <w:rFonts w:cstheme="minorHAnsi"/>
        </w:rPr>
        <w:t xml:space="preserve"> where we see these massive jumps in prices</w:t>
      </w:r>
      <w:r w:rsidR="00B52155">
        <w:rPr>
          <w:rFonts w:cstheme="minorHAnsi"/>
        </w:rPr>
        <w:t xml:space="preserve"> followed by</w:t>
      </w:r>
      <w:r w:rsidR="006E3F91">
        <w:rPr>
          <w:rFonts w:cstheme="minorHAnsi"/>
        </w:rPr>
        <w:t xml:space="preserve"> some sort of </w:t>
      </w:r>
      <w:r w:rsidR="00C645E6">
        <w:rPr>
          <w:rFonts w:cstheme="minorHAnsi"/>
        </w:rPr>
        <w:t>longin</w:t>
      </w:r>
      <w:r w:rsidR="009F08B8">
        <w:rPr>
          <w:rFonts w:cstheme="minorHAnsi"/>
        </w:rPr>
        <w:t xml:space="preserve">g </w:t>
      </w:r>
      <w:r w:rsidR="006E3F91">
        <w:rPr>
          <w:rFonts w:cstheme="minorHAnsi"/>
        </w:rPr>
        <w:t>correcti</w:t>
      </w:r>
      <w:r w:rsidR="007B617D">
        <w:rPr>
          <w:rFonts w:cstheme="minorHAnsi"/>
        </w:rPr>
        <w:t>on</w:t>
      </w:r>
      <w:r w:rsidR="007B617D">
        <w:rPr>
          <w:rStyle w:val="FootnoteReference"/>
        </w:rPr>
        <w:footnoteReference w:id="3"/>
      </w:r>
      <w:r w:rsidR="007B617D">
        <w:rPr>
          <w:rFonts w:cstheme="minorHAnsi"/>
        </w:rPr>
        <w:t xml:space="preserve"> afterward.</w:t>
      </w:r>
    </w:p>
    <w:p w14:paraId="680B8632" w14:textId="1D280E06" w:rsidR="001D5009" w:rsidRDefault="001D5009" w:rsidP="001D0E39">
      <w:pPr>
        <w:spacing w:line="276" w:lineRule="auto"/>
        <w:ind w:firstLine="360"/>
        <w:rPr>
          <w:rFonts w:cstheme="minorHAnsi"/>
        </w:rPr>
      </w:pPr>
    </w:p>
    <w:p w14:paraId="68F027F5" w14:textId="4A2E5D39" w:rsidR="006B0AA4" w:rsidRDefault="001D5009" w:rsidP="0056076D">
      <w:pPr>
        <w:spacing w:line="276" w:lineRule="auto"/>
        <w:ind w:firstLine="360"/>
        <w:rPr>
          <w:rFonts w:cstheme="minorHAnsi"/>
        </w:rPr>
      </w:pPr>
      <w:r>
        <w:rPr>
          <w:rFonts w:cstheme="minorHAnsi"/>
        </w:rPr>
        <w:t xml:space="preserve">Lastly, there were a few limitations to my analysis. </w:t>
      </w:r>
      <w:r w:rsidR="00BA37C3">
        <w:rPr>
          <w:rFonts w:cstheme="minorHAnsi"/>
        </w:rPr>
        <w:t xml:space="preserve">For one, </w:t>
      </w:r>
      <w:r>
        <w:rPr>
          <w:rFonts w:cstheme="minorHAnsi"/>
        </w:rPr>
        <w:t>I was only able to obtain data from 2014 and after</w:t>
      </w:r>
      <w:r w:rsidR="00B22430">
        <w:rPr>
          <w:rFonts w:cstheme="minorHAnsi"/>
        </w:rPr>
        <w:t xml:space="preserve">, so </w:t>
      </w:r>
      <w:r w:rsidR="00D31BF0">
        <w:rPr>
          <w:rFonts w:cstheme="minorHAnsi"/>
        </w:rPr>
        <w:t>it would</w:t>
      </w:r>
      <w:r w:rsidR="00686DB9">
        <w:rPr>
          <w:rFonts w:cstheme="minorHAnsi"/>
        </w:rPr>
        <w:t>’</w:t>
      </w:r>
      <w:r w:rsidR="00D31BF0">
        <w:rPr>
          <w:rFonts w:cstheme="minorHAnsi"/>
        </w:rPr>
        <w:t xml:space="preserve">ve been more </w:t>
      </w:r>
      <w:r w:rsidR="005E3086">
        <w:rPr>
          <w:rFonts w:cstheme="minorHAnsi"/>
        </w:rPr>
        <w:t>impactful</w:t>
      </w:r>
      <w:r w:rsidR="00D31BF0">
        <w:rPr>
          <w:rFonts w:cstheme="minorHAnsi"/>
        </w:rPr>
        <w:t xml:space="preserve"> and </w:t>
      </w:r>
      <w:r w:rsidR="006178DE">
        <w:rPr>
          <w:rFonts w:cstheme="minorHAnsi"/>
        </w:rPr>
        <w:t>helpful</w:t>
      </w:r>
      <w:r w:rsidR="00D31BF0">
        <w:rPr>
          <w:rFonts w:cstheme="minorHAnsi"/>
        </w:rPr>
        <w:t xml:space="preserve"> to </w:t>
      </w:r>
      <w:r w:rsidR="00AD176C">
        <w:rPr>
          <w:rFonts w:cstheme="minorHAnsi"/>
        </w:rPr>
        <w:t>have</w:t>
      </w:r>
      <w:r w:rsidR="00827BF9">
        <w:rPr>
          <w:rFonts w:cstheme="minorHAnsi"/>
        </w:rPr>
        <w:t xml:space="preserve"> utilized</w:t>
      </w:r>
      <w:r w:rsidR="00AD176C">
        <w:rPr>
          <w:rFonts w:cstheme="minorHAnsi"/>
        </w:rPr>
        <w:t xml:space="preserve"> </w:t>
      </w:r>
      <w:r w:rsidR="00827BF9">
        <w:rPr>
          <w:rFonts w:cstheme="minorHAnsi"/>
        </w:rPr>
        <w:t xml:space="preserve">BTC data from </w:t>
      </w:r>
      <w:r w:rsidR="00A7388A">
        <w:rPr>
          <w:rFonts w:cstheme="minorHAnsi"/>
        </w:rPr>
        <w:t>its creation</w:t>
      </w:r>
      <w:r w:rsidR="009F6805">
        <w:rPr>
          <w:rFonts w:cstheme="minorHAnsi"/>
        </w:rPr>
        <w:t xml:space="preserve"> until now</w:t>
      </w:r>
      <w:r w:rsidR="000F43A0">
        <w:rPr>
          <w:rFonts w:cstheme="minorHAnsi"/>
        </w:rPr>
        <w:t xml:space="preserve">. </w:t>
      </w:r>
      <w:r w:rsidR="005E3086">
        <w:rPr>
          <w:rFonts w:cstheme="minorHAnsi"/>
        </w:rPr>
        <w:t>Also,</w:t>
      </w:r>
      <w:r w:rsidR="001248EC">
        <w:rPr>
          <w:rFonts w:cstheme="minorHAnsi"/>
        </w:rPr>
        <w:t xml:space="preserve"> instead of using monthly data</w:t>
      </w:r>
      <w:r w:rsidR="002E6924">
        <w:rPr>
          <w:rFonts w:cstheme="minorHAnsi"/>
        </w:rPr>
        <w:t xml:space="preserve"> </w:t>
      </w:r>
      <w:r w:rsidR="001248EC">
        <w:rPr>
          <w:rFonts w:cstheme="minorHAnsi"/>
        </w:rPr>
        <w:t>I could have used</w:t>
      </w:r>
      <w:r w:rsidR="00F836B6">
        <w:rPr>
          <w:rFonts w:cstheme="minorHAnsi"/>
        </w:rPr>
        <w:t xml:space="preserve"> weekly, or even daily data</w:t>
      </w:r>
      <w:r w:rsidR="00B01309">
        <w:rPr>
          <w:rFonts w:cstheme="minorHAnsi"/>
        </w:rPr>
        <w:t xml:space="preserve">, </w:t>
      </w:r>
      <w:r w:rsidR="00744869">
        <w:rPr>
          <w:rFonts w:cstheme="minorHAnsi"/>
        </w:rPr>
        <w:t xml:space="preserve">but I was having issues </w:t>
      </w:r>
      <w:r w:rsidR="0059480C">
        <w:rPr>
          <w:rFonts w:cstheme="minorHAnsi"/>
        </w:rPr>
        <w:t>downloading anything that wasn’t monthly data</w:t>
      </w:r>
      <w:r w:rsidR="0067380F">
        <w:rPr>
          <w:rFonts w:cstheme="minorHAnsi"/>
        </w:rPr>
        <w:t xml:space="preserve"> and </w:t>
      </w:r>
      <w:r w:rsidR="00380595">
        <w:rPr>
          <w:rFonts w:cstheme="minorHAnsi"/>
        </w:rPr>
        <w:t xml:space="preserve">so I had to </w:t>
      </w:r>
      <w:r w:rsidR="00126B4B">
        <w:rPr>
          <w:rFonts w:cstheme="minorHAnsi"/>
        </w:rPr>
        <w:t>persist</w:t>
      </w:r>
      <w:r w:rsidR="00380595">
        <w:rPr>
          <w:rFonts w:cstheme="minorHAnsi"/>
        </w:rPr>
        <w:t xml:space="preserve"> with using it for this analysis, however having more data would</w:t>
      </w:r>
      <w:r w:rsidR="005515F1">
        <w:rPr>
          <w:rFonts w:cstheme="minorHAnsi"/>
        </w:rPr>
        <w:t xml:space="preserve"> ha</w:t>
      </w:r>
      <w:r w:rsidR="00380595">
        <w:rPr>
          <w:rFonts w:cstheme="minorHAnsi"/>
        </w:rPr>
        <w:t>ve</w:t>
      </w:r>
      <w:r w:rsidR="000E22F6">
        <w:rPr>
          <w:rFonts w:cstheme="minorHAnsi"/>
        </w:rPr>
        <w:t xml:space="preserve"> </w:t>
      </w:r>
      <w:r w:rsidR="00380595">
        <w:rPr>
          <w:rFonts w:cstheme="minorHAnsi"/>
        </w:rPr>
        <w:t xml:space="preserve">been more beneficial for revealing clearer and more </w:t>
      </w:r>
      <w:r w:rsidR="00061972">
        <w:rPr>
          <w:rFonts w:cstheme="minorHAnsi"/>
        </w:rPr>
        <w:t>insightful</w:t>
      </w:r>
      <w:r w:rsidR="00380595">
        <w:rPr>
          <w:rFonts w:cstheme="minorHAnsi"/>
        </w:rPr>
        <w:t xml:space="preserve"> patterns. </w:t>
      </w:r>
      <w:r w:rsidR="00624FA9">
        <w:rPr>
          <w:rFonts w:cstheme="minorHAnsi"/>
        </w:rPr>
        <w:t xml:space="preserve">Moreover, </w:t>
      </w:r>
      <w:r w:rsidR="0069510D">
        <w:rPr>
          <w:rFonts w:cstheme="minorHAnsi"/>
        </w:rPr>
        <w:t>the</w:t>
      </w:r>
      <w:r w:rsidR="00BE5319">
        <w:rPr>
          <w:rFonts w:cstheme="minorHAnsi"/>
        </w:rPr>
        <w:t xml:space="preserve"> obtained models aren’t “perfect”</w:t>
      </w:r>
      <w:r w:rsidR="002F1344">
        <w:rPr>
          <w:rFonts w:cstheme="minorHAnsi"/>
        </w:rPr>
        <w:t xml:space="preserve"> by any means,</w:t>
      </w:r>
      <w:r w:rsidR="008D37A2">
        <w:rPr>
          <w:rFonts w:cstheme="minorHAnsi"/>
        </w:rPr>
        <w:t xml:space="preserve"> </w:t>
      </w:r>
      <w:r w:rsidR="00BE5319">
        <w:rPr>
          <w:rFonts w:cstheme="minorHAnsi"/>
        </w:rPr>
        <w:t xml:space="preserve">but </w:t>
      </w:r>
      <w:r w:rsidR="00DB4F56">
        <w:rPr>
          <w:rFonts w:cstheme="minorHAnsi"/>
        </w:rPr>
        <w:t>the</w:t>
      </w:r>
      <w:r w:rsidR="00BE5319">
        <w:rPr>
          <w:rFonts w:cstheme="minorHAnsi"/>
        </w:rPr>
        <w:t xml:space="preserve"> results</w:t>
      </w:r>
      <w:r w:rsidR="008B0F75">
        <w:rPr>
          <w:rFonts w:cstheme="minorHAnsi"/>
        </w:rPr>
        <w:t xml:space="preserve"> </w:t>
      </w:r>
      <w:r w:rsidR="005A2367">
        <w:rPr>
          <w:rFonts w:cstheme="minorHAnsi"/>
        </w:rPr>
        <w:t>are</w:t>
      </w:r>
      <w:r w:rsidR="002706CE">
        <w:rPr>
          <w:rFonts w:cstheme="minorHAnsi"/>
        </w:rPr>
        <w:t xml:space="preserve"> practical</w:t>
      </w:r>
      <w:r w:rsidR="009F4058">
        <w:rPr>
          <w:rFonts w:cstheme="minorHAnsi"/>
        </w:rPr>
        <w:t xml:space="preserve"> and demonstrate </w:t>
      </w:r>
      <w:r w:rsidR="007D798F">
        <w:rPr>
          <w:rFonts w:cstheme="minorHAnsi"/>
        </w:rPr>
        <w:t xml:space="preserve">what can </w:t>
      </w:r>
      <w:r w:rsidR="000E69AA">
        <w:rPr>
          <w:rFonts w:cstheme="minorHAnsi"/>
        </w:rPr>
        <w:t>be obtained</w:t>
      </w:r>
      <w:r w:rsidR="006B583D">
        <w:rPr>
          <w:rFonts w:cstheme="minorHAnsi"/>
        </w:rPr>
        <w:t xml:space="preserve"> </w:t>
      </w:r>
      <w:r w:rsidR="00942C40">
        <w:rPr>
          <w:rFonts w:cstheme="minorHAnsi"/>
        </w:rPr>
        <w:t>from</w:t>
      </w:r>
      <w:r w:rsidR="006B583D">
        <w:rPr>
          <w:rFonts w:cstheme="minorHAnsi"/>
        </w:rPr>
        <w:t xml:space="preserve"> real-world time series data</w:t>
      </w:r>
      <w:r w:rsidR="003338D2">
        <w:rPr>
          <w:rFonts w:cstheme="minorHAnsi"/>
        </w:rPr>
        <w:t xml:space="preserve"> </w:t>
      </w:r>
      <w:r w:rsidR="000F07B5">
        <w:rPr>
          <w:rFonts w:cstheme="minorHAnsi"/>
        </w:rPr>
        <w:t>analysis,</w:t>
      </w:r>
      <w:r w:rsidR="009A3DD9">
        <w:rPr>
          <w:rFonts w:cstheme="minorHAnsi"/>
        </w:rPr>
        <w:t xml:space="preserve"> </w:t>
      </w:r>
      <w:r w:rsidR="00EA245D">
        <w:rPr>
          <w:rFonts w:cstheme="minorHAnsi"/>
        </w:rPr>
        <w:t>nonetheless</w:t>
      </w:r>
      <w:r w:rsidR="004D15D1">
        <w:rPr>
          <w:rFonts w:cstheme="minorHAnsi"/>
        </w:rPr>
        <w:t>.</w:t>
      </w:r>
      <w:r w:rsidR="0056076D">
        <w:rPr>
          <w:rFonts w:cstheme="minorHAnsi"/>
        </w:rPr>
        <w:t xml:space="preserve"> </w:t>
      </w:r>
      <w:r w:rsidR="009218F4">
        <w:rPr>
          <w:rFonts w:cstheme="minorHAnsi"/>
        </w:rPr>
        <w:t xml:space="preserve">It would have also been interesting to incorporate </w:t>
      </w:r>
      <w:r w:rsidR="003C6D40">
        <w:rPr>
          <w:rFonts w:cstheme="minorHAnsi"/>
        </w:rPr>
        <w:t xml:space="preserve">more time series analysis </w:t>
      </w:r>
      <w:r w:rsidR="00BD7AD0">
        <w:rPr>
          <w:rFonts w:cstheme="minorHAnsi"/>
        </w:rPr>
        <w:t>methods</w:t>
      </w:r>
      <w:r w:rsidR="00710381">
        <w:rPr>
          <w:rFonts w:cstheme="minorHAnsi"/>
        </w:rPr>
        <w:t xml:space="preserve"> </w:t>
      </w:r>
      <w:r w:rsidR="0085607B">
        <w:rPr>
          <w:rFonts w:cstheme="minorHAnsi"/>
        </w:rPr>
        <w:t>for other cryptocurrenc</w:t>
      </w:r>
      <w:r w:rsidR="00710F7E">
        <w:rPr>
          <w:rFonts w:cstheme="minorHAnsi"/>
        </w:rPr>
        <w:t>y data</w:t>
      </w:r>
      <w:r w:rsidR="0085607B">
        <w:rPr>
          <w:rFonts w:cstheme="minorHAnsi"/>
        </w:rPr>
        <w:t>, such as the</w:t>
      </w:r>
      <w:r w:rsidR="00710381">
        <w:rPr>
          <w:rFonts w:cstheme="minorHAnsi"/>
        </w:rPr>
        <w:t xml:space="preserve"> altcoins</w:t>
      </w:r>
      <w:r w:rsidR="00721DDC">
        <w:rPr>
          <w:rFonts w:cstheme="minorHAnsi"/>
        </w:rPr>
        <w:t xml:space="preserve"> </w:t>
      </w:r>
      <w:r w:rsidR="00260D18">
        <w:rPr>
          <w:rFonts w:cstheme="minorHAnsi"/>
        </w:rPr>
        <w:t>E</w:t>
      </w:r>
      <w:r w:rsidR="006477E7" w:rsidRPr="006477E7">
        <w:rPr>
          <w:rFonts w:cstheme="minorHAnsi"/>
        </w:rPr>
        <w:t>thereum</w:t>
      </w:r>
      <w:r w:rsidR="00932958">
        <w:rPr>
          <w:rFonts w:cstheme="minorHAnsi"/>
        </w:rPr>
        <w:t xml:space="preserve">, Dogecoin, </w:t>
      </w:r>
      <w:proofErr w:type="spellStart"/>
      <w:r w:rsidR="00B4637B" w:rsidRPr="00B4637B">
        <w:rPr>
          <w:rFonts w:cstheme="minorHAnsi"/>
        </w:rPr>
        <w:t>Cardano</w:t>
      </w:r>
      <w:proofErr w:type="spellEnd"/>
      <w:r w:rsidR="00932958">
        <w:rPr>
          <w:rFonts w:cstheme="minorHAnsi"/>
        </w:rPr>
        <w:t>, etc.</w:t>
      </w:r>
      <w:r w:rsidR="00721DDC">
        <w:rPr>
          <w:rFonts w:cstheme="minorHAnsi"/>
        </w:rPr>
        <w:t>,</w:t>
      </w:r>
      <w:r w:rsidR="009703B1">
        <w:rPr>
          <w:rFonts w:cstheme="minorHAnsi"/>
        </w:rPr>
        <w:t xml:space="preserve"> since </w:t>
      </w:r>
      <w:r w:rsidR="00857D1B">
        <w:rPr>
          <w:rFonts w:cstheme="minorHAnsi"/>
        </w:rPr>
        <w:t xml:space="preserve">trends can be quite different for various </w:t>
      </w:r>
      <w:proofErr w:type="gramStart"/>
      <w:r w:rsidR="00857D1B">
        <w:rPr>
          <w:rFonts w:cstheme="minorHAnsi"/>
        </w:rPr>
        <w:t>coin</w:t>
      </w:r>
      <w:r w:rsidR="00A87992">
        <w:rPr>
          <w:rFonts w:cstheme="minorHAnsi"/>
        </w:rPr>
        <w:t>s</w:t>
      </w:r>
      <w:proofErr w:type="gramEnd"/>
      <w:r w:rsidR="00606726">
        <w:rPr>
          <w:rFonts w:cstheme="minorHAnsi"/>
        </w:rPr>
        <w:t xml:space="preserve"> </w:t>
      </w:r>
      <w:r w:rsidR="00AF6790">
        <w:rPr>
          <w:rFonts w:cstheme="minorHAnsi"/>
        </w:rPr>
        <w:t>and i</w:t>
      </w:r>
      <w:r w:rsidR="00A87992">
        <w:rPr>
          <w:rFonts w:cstheme="minorHAnsi"/>
        </w:rPr>
        <w:t xml:space="preserve">t </w:t>
      </w:r>
      <w:r w:rsidR="00252197">
        <w:rPr>
          <w:rFonts w:cstheme="minorHAnsi"/>
        </w:rPr>
        <w:t>would have been</w:t>
      </w:r>
      <w:r w:rsidR="00A87992">
        <w:rPr>
          <w:rFonts w:cstheme="minorHAnsi"/>
        </w:rPr>
        <w:t xml:space="preserve"> </w:t>
      </w:r>
      <w:r w:rsidR="003D7CC1">
        <w:rPr>
          <w:rFonts w:cstheme="minorHAnsi"/>
        </w:rPr>
        <w:t>intuitive</w:t>
      </w:r>
      <w:r w:rsidR="00A87992">
        <w:rPr>
          <w:rFonts w:cstheme="minorHAnsi"/>
        </w:rPr>
        <w:t xml:space="preserve"> to</w:t>
      </w:r>
      <w:r w:rsidR="00857D1B">
        <w:rPr>
          <w:rFonts w:cstheme="minorHAnsi"/>
        </w:rPr>
        <w:t xml:space="preserve"> see how </w:t>
      </w:r>
      <w:r w:rsidR="00E97C07">
        <w:rPr>
          <w:rFonts w:cstheme="minorHAnsi"/>
        </w:rPr>
        <w:t>such information</w:t>
      </w:r>
      <w:r w:rsidR="00857D1B">
        <w:rPr>
          <w:rFonts w:cstheme="minorHAnsi"/>
        </w:rPr>
        <w:t xml:space="preserve"> </w:t>
      </w:r>
      <w:r w:rsidR="00296626">
        <w:rPr>
          <w:rFonts w:cstheme="minorHAnsi"/>
        </w:rPr>
        <w:t>relate</w:t>
      </w:r>
      <w:r w:rsidR="00903639">
        <w:rPr>
          <w:rFonts w:cstheme="minorHAnsi"/>
        </w:rPr>
        <w:t>s</w:t>
      </w:r>
      <w:r w:rsidR="00296626">
        <w:rPr>
          <w:rFonts w:cstheme="minorHAnsi"/>
        </w:rPr>
        <w:t xml:space="preserve"> </w:t>
      </w:r>
      <w:r w:rsidR="006A19D5">
        <w:rPr>
          <w:rFonts w:cstheme="minorHAnsi"/>
        </w:rPr>
        <w:t>with</w:t>
      </w:r>
      <w:r w:rsidR="00857D1B">
        <w:rPr>
          <w:rFonts w:cstheme="minorHAnsi"/>
        </w:rPr>
        <w:t xml:space="preserve"> BTC</w:t>
      </w:r>
      <w:r w:rsidR="005A771C">
        <w:rPr>
          <w:rFonts w:cstheme="minorHAnsi"/>
        </w:rPr>
        <w:t>.</w:t>
      </w:r>
    </w:p>
    <w:p w14:paraId="245DA2D2" w14:textId="77777777" w:rsidR="006B0AA4" w:rsidRDefault="006B0AA4" w:rsidP="0056076D">
      <w:pPr>
        <w:spacing w:line="276" w:lineRule="auto"/>
        <w:ind w:firstLine="360"/>
        <w:rPr>
          <w:rFonts w:cstheme="minorHAnsi"/>
        </w:rPr>
      </w:pPr>
    </w:p>
    <w:p w14:paraId="69550144" w14:textId="06BA1CDF" w:rsidR="007059ED" w:rsidRDefault="006B0AA4" w:rsidP="00632400">
      <w:pPr>
        <w:spacing w:line="276" w:lineRule="auto"/>
        <w:ind w:firstLine="360"/>
        <w:rPr>
          <w:rFonts w:cstheme="minorHAnsi"/>
        </w:rPr>
      </w:pPr>
      <w:r>
        <w:rPr>
          <w:rFonts w:cstheme="minorHAnsi"/>
        </w:rPr>
        <w:t>W</w:t>
      </w:r>
      <w:r w:rsidR="0056076D">
        <w:rPr>
          <w:rFonts w:cstheme="minorHAnsi"/>
        </w:rPr>
        <w:t xml:space="preserve">hat we’re currently witnessing with BTC has never been seen before. BTC is currently on its greatest “bull run” </w:t>
      </w:r>
      <w:r w:rsidR="00157412">
        <w:rPr>
          <w:rFonts w:cstheme="minorHAnsi"/>
        </w:rPr>
        <w:t>amid</w:t>
      </w:r>
      <w:r w:rsidR="0056076D">
        <w:rPr>
          <w:rFonts w:cstheme="minorHAnsi"/>
        </w:rPr>
        <w:t xml:space="preserve"> a pandemic</w:t>
      </w:r>
      <w:r w:rsidR="0060374F">
        <w:rPr>
          <w:rFonts w:cstheme="minorHAnsi"/>
        </w:rPr>
        <w:t>,</w:t>
      </w:r>
      <w:r w:rsidR="00CE0A8B">
        <w:rPr>
          <w:rFonts w:cstheme="minorHAnsi"/>
        </w:rPr>
        <w:t xml:space="preserve"> and</w:t>
      </w:r>
      <w:r w:rsidR="00F43D8B">
        <w:rPr>
          <w:rFonts w:cstheme="minorHAnsi"/>
        </w:rPr>
        <w:t xml:space="preserve"> </w:t>
      </w:r>
      <w:r w:rsidR="00E373F0">
        <w:rPr>
          <w:rFonts w:cstheme="minorHAnsi"/>
        </w:rPr>
        <w:t>“</w:t>
      </w:r>
      <w:r w:rsidR="00F43D8B">
        <w:rPr>
          <w:rFonts w:cstheme="minorHAnsi"/>
        </w:rPr>
        <w:t>halving</w:t>
      </w:r>
      <w:r w:rsidR="00E373F0">
        <w:rPr>
          <w:rFonts w:cstheme="minorHAnsi"/>
        </w:rPr>
        <w:t>”</w:t>
      </w:r>
      <w:r w:rsidR="00F43D8B">
        <w:rPr>
          <w:rFonts w:cstheme="minorHAnsi"/>
        </w:rPr>
        <w:t xml:space="preserve"> hasn’t e</w:t>
      </w:r>
      <w:r w:rsidR="00C54CBC">
        <w:rPr>
          <w:rFonts w:cstheme="minorHAnsi"/>
        </w:rPr>
        <w:t>ven occurred yet (</w:t>
      </w:r>
      <w:r w:rsidR="00A860BF">
        <w:rPr>
          <w:rFonts w:cstheme="minorHAnsi"/>
        </w:rPr>
        <w:t xml:space="preserve">it’s </w:t>
      </w:r>
      <w:r w:rsidR="006D5F28">
        <w:rPr>
          <w:rFonts w:cstheme="minorHAnsi"/>
        </w:rPr>
        <w:t xml:space="preserve">expected to </w:t>
      </w:r>
      <w:r w:rsidR="0046572D">
        <w:rPr>
          <w:rFonts w:cstheme="minorHAnsi"/>
        </w:rPr>
        <w:t>happen</w:t>
      </w:r>
      <w:r w:rsidR="006D5F28">
        <w:rPr>
          <w:rFonts w:cstheme="minorHAnsi"/>
        </w:rPr>
        <w:t xml:space="preserve"> this year</w:t>
      </w:r>
      <w:r w:rsidR="00C54CBC">
        <w:rPr>
          <w:rFonts w:cstheme="minorHAnsi"/>
        </w:rPr>
        <w:t>)</w:t>
      </w:r>
      <w:r w:rsidR="007D213F">
        <w:rPr>
          <w:rFonts w:cstheme="minorHAnsi"/>
        </w:rPr>
        <w:t>.</w:t>
      </w:r>
      <w:r w:rsidR="000C6468">
        <w:rPr>
          <w:rFonts w:cstheme="minorHAnsi"/>
        </w:rPr>
        <w:t xml:space="preserve"> It’s difficult </w:t>
      </w:r>
      <w:r w:rsidR="00A90A81">
        <w:rPr>
          <w:rFonts w:cstheme="minorHAnsi"/>
        </w:rPr>
        <w:t>to say what can happen</w:t>
      </w:r>
      <w:r w:rsidR="002129D4">
        <w:rPr>
          <w:rFonts w:cstheme="minorHAnsi"/>
        </w:rPr>
        <w:t xml:space="preserve"> to Bitcoin</w:t>
      </w:r>
      <w:r w:rsidR="00A90A81">
        <w:rPr>
          <w:rFonts w:cstheme="minorHAnsi"/>
        </w:rPr>
        <w:t xml:space="preserve"> in the short-term</w:t>
      </w:r>
      <w:r w:rsidR="00E50D0C">
        <w:rPr>
          <w:rFonts w:cstheme="minorHAnsi"/>
        </w:rPr>
        <w:t>. Will halving cause prices to skyrocket again? Is there another massive correction</w:t>
      </w:r>
      <w:r w:rsidR="003E2CE8">
        <w:rPr>
          <w:rFonts w:cstheme="minorHAnsi"/>
        </w:rPr>
        <w:t xml:space="preserve"> bound to happen before then? Maybe after?</w:t>
      </w:r>
      <w:r w:rsidR="00896CD7">
        <w:rPr>
          <w:rFonts w:cstheme="minorHAnsi"/>
        </w:rPr>
        <w:t xml:space="preserve"> </w:t>
      </w:r>
      <w:r w:rsidR="00BD528A">
        <w:rPr>
          <w:rFonts w:cstheme="minorHAnsi"/>
        </w:rPr>
        <w:t>It may be difficult to predict the future, however o</w:t>
      </w:r>
      <w:r w:rsidR="00D61F3B">
        <w:rPr>
          <w:rFonts w:cstheme="minorHAnsi"/>
        </w:rPr>
        <w:t>verall</w:t>
      </w:r>
      <w:r w:rsidR="00896CD7">
        <w:rPr>
          <w:rFonts w:cstheme="minorHAnsi"/>
        </w:rPr>
        <w:t xml:space="preserve"> data s</w:t>
      </w:r>
      <w:r w:rsidR="00EA0E26">
        <w:rPr>
          <w:rFonts w:cstheme="minorHAnsi"/>
        </w:rPr>
        <w:t>eems to s</w:t>
      </w:r>
      <w:r w:rsidR="00896CD7">
        <w:rPr>
          <w:rFonts w:cstheme="minorHAnsi"/>
        </w:rPr>
        <w:t>how</w:t>
      </w:r>
      <w:r w:rsidR="00D61F3B">
        <w:rPr>
          <w:rFonts w:cstheme="minorHAnsi"/>
        </w:rPr>
        <w:t xml:space="preserve"> that B</w:t>
      </w:r>
      <w:r w:rsidR="00F83F01">
        <w:rPr>
          <w:rFonts w:cstheme="minorHAnsi"/>
        </w:rPr>
        <w:t>itcoin</w:t>
      </w:r>
      <w:r w:rsidR="00D61F3B">
        <w:rPr>
          <w:rFonts w:cstheme="minorHAnsi"/>
        </w:rPr>
        <w:t xml:space="preserve"> </w:t>
      </w:r>
      <w:r w:rsidR="005D781F">
        <w:rPr>
          <w:rFonts w:cstheme="minorHAnsi"/>
        </w:rPr>
        <w:t>may</w:t>
      </w:r>
      <w:r w:rsidR="004B5CD1">
        <w:rPr>
          <w:rFonts w:cstheme="minorHAnsi"/>
        </w:rPr>
        <w:t xml:space="preserve"> </w:t>
      </w:r>
      <w:r w:rsidR="005D781F">
        <w:rPr>
          <w:rFonts w:cstheme="minorHAnsi"/>
        </w:rPr>
        <w:t>be here to stay for a while</w:t>
      </w:r>
      <w:r w:rsidR="00FA64FF">
        <w:rPr>
          <w:rFonts w:cstheme="minorHAnsi"/>
        </w:rPr>
        <w:t>.</w:t>
      </w:r>
    </w:p>
    <w:p w14:paraId="0B626137" w14:textId="77777777" w:rsidR="00632400" w:rsidRDefault="00632400" w:rsidP="00632400">
      <w:pPr>
        <w:spacing w:line="276" w:lineRule="auto"/>
        <w:ind w:firstLine="360"/>
        <w:rPr>
          <w:rFonts w:cstheme="minorHAnsi"/>
        </w:rPr>
      </w:pPr>
    </w:p>
    <w:p w14:paraId="13C7620A" w14:textId="259F0FE8" w:rsidR="007059ED" w:rsidRDefault="005010D5" w:rsidP="007059ED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Appendix (R Code)</w:t>
      </w:r>
    </w:p>
    <w:p w14:paraId="6231ED61" w14:textId="1AFFA57D" w:rsidR="00C65240" w:rsidRDefault="00C65240" w:rsidP="00C65240">
      <w:pPr>
        <w:spacing w:line="276" w:lineRule="auto"/>
        <w:rPr>
          <w:b/>
          <w:bCs/>
          <w:sz w:val="28"/>
          <w:szCs w:val="28"/>
        </w:rPr>
      </w:pPr>
    </w:p>
    <w:p w14:paraId="5C1DE13C" w14:textId="77777777" w:rsidR="00FD5912" w:rsidRDefault="00FD5912" w:rsidP="00FD5912">
      <w:pPr>
        <w:spacing w:line="276" w:lineRule="auto"/>
      </w:pPr>
      <w:r>
        <w:t>### Project ###</w:t>
      </w:r>
    </w:p>
    <w:p w14:paraId="0156965D" w14:textId="77777777" w:rsidR="00FD5912" w:rsidRDefault="00FD5912" w:rsidP="00FD5912">
      <w:pPr>
        <w:spacing w:line="276" w:lineRule="auto"/>
      </w:pPr>
    </w:p>
    <w:p w14:paraId="71D31FE9" w14:textId="77777777" w:rsidR="00FD5912" w:rsidRDefault="00FD5912" w:rsidP="00FD5912">
      <w:pPr>
        <w:spacing w:line="276" w:lineRule="auto"/>
      </w:pPr>
      <w:r>
        <w:t>#Load packages</w:t>
      </w:r>
    </w:p>
    <w:p w14:paraId="4B7C1B57" w14:textId="77777777" w:rsidR="00FD5912" w:rsidRDefault="00FD5912" w:rsidP="00FD5912">
      <w:pPr>
        <w:spacing w:line="276" w:lineRule="auto"/>
      </w:pPr>
      <w:r>
        <w:t>library(</w:t>
      </w:r>
      <w:proofErr w:type="spellStart"/>
      <w:r>
        <w:t>tswge</w:t>
      </w:r>
      <w:proofErr w:type="spellEnd"/>
      <w:r>
        <w:t>)</w:t>
      </w:r>
    </w:p>
    <w:p w14:paraId="7331BAFC" w14:textId="77777777" w:rsidR="00FD5912" w:rsidRDefault="00FD5912" w:rsidP="00FD5912">
      <w:pPr>
        <w:spacing w:line="276" w:lineRule="auto"/>
      </w:pPr>
      <w:r>
        <w:t>library(zoo)</w:t>
      </w:r>
    </w:p>
    <w:p w14:paraId="55DF4257" w14:textId="77777777" w:rsidR="00FD5912" w:rsidRDefault="00FD5912" w:rsidP="00FD5912">
      <w:pPr>
        <w:spacing w:line="276" w:lineRule="auto"/>
      </w:pPr>
      <w:r>
        <w:t>library(</w:t>
      </w:r>
      <w:proofErr w:type="spellStart"/>
      <w:r>
        <w:t>xts</w:t>
      </w:r>
      <w:proofErr w:type="spellEnd"/>
      <w:r>
        <w:t>)</w:t>
      </w:r>
    </w:p>
    <w:p w14:paraId="7100F9EA" w14:textId="77777777" w:rsidR="00FD5912" w:rsidRDefault="00FD5912" w:rsidP="00FD5912">
      <w:pPr>
        <w:spacing w:line="276" w:lineRule="auto"/>
      </w:pPr>
      <w:r>
        <w:t>library(</w:t>
      </w:r>
      <w:proofErr w:type="spellStart"/>
      <w:r>
        <w:t>lubridate</w:t>
      </w:r>
      <w:proofErr w:type="spellEnd"/>
      <w:r>
        <w:t>)</w:t>
      </w:r>
    </w:p>
    <w:p w14:paraId="4D807EF1" w14:textId="77777777" w:rsidR="00FD5912" w:rsidRDefault="00FD5912" w:rsidP="00FD5912">
      <w:pPr>
        <w:spacing w:line="276" w:lineRule="auto"/>
      </w:pPr>
      <w:r>
        <w:t>library(</w:t>
      </w:r>
      <w:proofErr w:type="spellStart"/>
      <w:r>
        <w:t>dplyr</w:t>
      </w:r>
      <w:proofErr w:type="spellEnd"/>
      <w:r>
        <w:t>)</w:t>
      </w:r>
    </w:p>
    <w:p w14:paraId="5592C3FC" w14:textId="77777777" w:rsidR="00FD5912" w:rsidRDefault="00FD5912" w:rsidP="00FD5912">
      <w:pPr>
        <w:spacing w:line="276" w:lineRule="auto"/>
      </w:pPr>
      <w:r>
        <w:t>library(</w:t>
      </w:r>
      <w:proofErr w:type="spellStart"/>
      <w:r>
        <w:t>tidyr</w:t>
      </w:r>
      <w:proofErr w:type="spellEnd"/>
      <w:r>
        <w:t>)</w:t>
      </w:r>
    </w:p>
    <w:p w14:paraId="7A756B9E" w14:textId="77777777" w:rsidR="00FD5912" w:rsidRDefault="00FD5912" w:rsidP="00FD5912">
      <w:pPr>
        <w:spacing w:line="276" w:lineRule="auto"/>
      </w:pPr>
      <w:proofErr w:type="gramStart"/>
      <w:r>
        <w:t>library(</w:t>
      </w:r>
      <w:proofErr w:type="gramEnd"/>
      <w:r>
        <w:t>WDI)</w:t>
      </w:r>
    </w:p>
    <w:p w14:paraId="05AE7AC6" w14:textId="77777777" w:rsidR="00FD5912" w:rsidRDefault="00FD5912" w:rsidP="00FD5912">
      <w:pPr>
        <w:spacing w:line="276" w:lineRule="auto"/>
      </w:pPr>
      <w:r>
        <w:t>library(</w:t>
      </w:r>
      <w:proofErr w:type="spellStart"/>
      <w:r>
        <w:t>keras</w:t>
      </w:r>
      <w:proofErr w:type="spellEnd"/>
      <w:r>
        <w:t>)</w:t>
      </w:r>
    </w:p>
    <w:p w14:paraId="11A8A07A" w14:textId="77777777" w:rsidR="00FD5912" w:rsidRDefault="00FD5912" w:rsidP="00FD5912">
      <w:pPr>
        <w:spacing w:line="276" w:lineRule="auto"/>
      </w:pPr>
      <w:r>
        <w:t>library(</w:t>
      </w:r>
      <w:proofErr w:type="spellStart"/>
      <w:r>
        <w:t>anomalize</w:t>
      </w:r>
      <w:proofErr w:type="spellEnd"/>
      <w:r>
        <w:t>)</w:t>
      </w:r>
    </w:p>
    <w:p w14:paraId="0D2111AF" w14:textId="77777777" w:rsidR="00FD5912" w:rsidRDefault="00FD5912" w:rsidP="00FD5912">
      <w:pPr>
        <w:spacing w:line="276" w:lineRule="auto"/>
      </w:pPr>
      <w:r>
        <w:t>library(</w:t>
      </w:r>
      <w:proofErr w:type="spellStart"/>
      <w:r>
        <w:t>devtools</w:t>
      </w:r>
      <w:proofErr w:type="spellEnd"/>
      <w:r>
        <w:t>)</w:t>
      </w:r>
    </w:p>
    <w:p w14:paraId="48B0243D" w14:textId="77777777" w:rsidR="00FD5912" w:rsidRDefault="00FD5912" w:rsidP="00FD5912">
      <w:pPr>
        <w:spacing w:line="276" w:lineRule="auto"/>
      </w:pPr>
      <w:r>
        <w:t>library(signal)</w:t>
      </w:r>
    </w:p>
    <w:p w14:paraId="286B24CF" w14:textId="77777777" w:rsidR="00FD5912" w:rsidRDefault="00FD5912" w:rsidP="00FD5912">
      <w:pPr>
        <w:spacing w:line="276" w:lineRule="auto"/>
      </w:pPr>
      <w:proofErr w:type="gramStart"/>
      <w:r>
        <w:t>library(</w:t>
      </w:r>
      <w:proofErr w:type="gramEnd"/>
      <w:r>
        <w:t>MASS)</w:t>
      </w:r>
    </w:p>
    <w:p w14:paraId="316FDB36" w14:textId="77777777" w:rsidR="00FD5912" w:rsidRDefault="00FD5912" w:rsidP="00FD5912">
      <w:pPr>
        <w:spacing w:line="276" w:lineRule="auto"/>
      </w:pPr>
      <w:r>
        <w:t>library(</w:t>
      </w:r>
      <w:proofErr w:type="spellStart"/>
      <w:r>
        <w:t>dplyr</w:t>
      </w:r>
      <w:proofErr w:type="spellEnd"/>
      <w:r>
        <w:t>)</w:t>
      </w:r>
    </w:p>
    <w:p w14:paraId="2B39816F" w14:textId="77777777" w:rsidR="00FD5912" w:rsidRDefault="00FD5912" w:rsidP="00FD5912">
      <w:pPr>
        <w:spacing w:line="276" w:lineRule="auto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5827387E" w14:textId="77777777" w:rsidR="00FD5912" w:rsidRDefault="00FD5912" w:rsidP="00FD5912">
      <w:pPr>
        <w:spacing w:line="276" w:lineRule="auto"/>
      </w:pPr>
    </w:p>
    <w:p w14:paraId="73AF2A50" w14:textId="77777777" w:rsidR="00FD5912" w:rsidRDefault="00FD5912" w:rsidP="00FD5912">
      <w:pPr>
        <w:spacing w:line="276" w:lineRule="auto"/>
      </w:pPr>
    </w:p>
    <w:p w14:paraId="21F73886" w14:textId="77777777" w:rsidR="00FD5912" w:rsidRDefault="00FD5912" w:rsidP="00FD5912">
      <w:pPr>
        <w:spacing w:line="276" w:lineRule="auto"/>
      </w:pPr>
      <w:r>
        <w:t>#Read in monthly data (August 2010 - May 2021)</w:t>
      </w:r>
    </w:p>
    <w:p w14:paraId="24403117" w14:textId="77777777" w:rsidR="00FD5912" w:rsidRDefault="00FD5912" w:rsidP="00FD5912">
      <w:pPr>
        <w:spacing w:line="276" w:lineRule="auto"/>
      </w:pPr>
      <w:proofErr w:type="spellStart"/>
      <w:proofErr w:type="gramStart"/>
      <w:r>
        <w:t>btc.monthly</w:t>
      </w:r>
      <w:proofErr w:type="spellEnd"/>
      <w:proofErr w:type="gramEnd"/>
      <w:r>
        <w:t xml:space="preserve"> = read.csv("BTC-USD.csv")</w:t>
      </w:r>
    </w:p>
    <w:p w14:paraId="4DA812FA" w14:textId="77777777" w:rsidR="00FD5912" w:rsidRDefault="00FD5912" w:rsidP="00FD5912">
      <w:pPr>
        <w:spacing w:line="276" w:lineRule="auto"/>
      </w:pPr>
      <w:r>
        <w:t>View(</w:t>
      </w:r>
      <w:proofErr w:type="spellStart"/>
      <w:proofErr w:type="gramStart"/>
      <w:r>
        <w:t>btc.monthly</w:t>
      </w:r>
      <w:proofErr w:type="spellEnd"/>
      <w:proofErr w:type="gramEnd"/>
      <w:r>
        <w:t>)</w:t>
      </w:r>
    </w:p>
    <w:p w14:paraId="43ECCF92" w14:textId="77777777" w:rsidR="00FD5912" w:rsidRDefault="00FD5912" w:rsidP="00FD5912">
      <w:pPr>
        <w:spacing w:line="276" w:lineRule="auto"/>
      </w:pPr>
      <w:r>
        <w:t>str(</w:t>
      </w:r>
      <w:proofErr w:type="spellStart"/>
      <w:proofErr w:type="gramStart"/>
      <w:r>
        <w:t>btc.monthly</w:t>
      </w:r>
      <w:proofErr w:type="spellEnd"/>
      <w:proofErr w:type="gramEnd"/>
      <w:r>
        <w:t>)</w:t>
      </w:r>
    </w:p>
    <w:p w14:paraId="6EE3EA34" w14:textId="77777777" w:rsidR="00FD5912" w:rsidRDefault="00FD5912" w:rsidP="00FD5912">
      <w:pPr>
        <w:spacing w:line="276" w:lineRule="auto"/>
      </w:pPr>
    </w:p>
    <w:p w14:paraId="389CC8BF" w14:textId="77777777" w:rsidR="00FD5912" w:rsidRDefault="00FD5912" w:rsidP="00FD5912">
      <w:pPr>
        <w:spacing w:line="276" w:lineRule="auto"/>
      </w:pPr>
    </w:p>
    <w:p w14:paraId="71CE2AF7" w14:textId="77777777" w:rsidR="00FD5912" w:rsidRDefault="00FD5912" w:rsidP="00FD5912">
      <w:pPr>
        <w:spacing w:line="276" w:lineRule="auto"/>
      </w:pPr>
      <w:r>
        <w:t># Methods #</w:t>
      </w:r>
    </w:p>
    <w:p w14:paraId="0D532EEF" w14:textId="77777777" w:rsidR="00FD5912" w:rsidRDefault="00FD5912" w:rsidP="00FD5912">
      <w:pPr>
        <w:spacing w:line="276" w:lineRule="auto"/>
      </w:pPr>
    </w:p>
    <w:p w14:paraId="4B3C3B33" w14:textId="77777777" w:rsidR="00FD5912" w:rsidRDefault="00FD5912" w:rsidP="00FD5912">
      <w:pPr>
        <w:spacing w:line="276" w:lineRule="auto"/>
      </w:pPr>
      <w:r>
        <w:t>#Plot monthly data</w:t>
      </w:r>
    </w:p>
    <w:p w14:paraId="60B7EC17" w14:textId="77777777" w:rsidR="00FD5912" w:rsidRDefault="00FD5912" w:rsidP="00FD5912">
      <w:pPr>
        <w:spacing w:line="276" w:lineRule="auto"/>
      </w:pPr>
      <w:r>
        <w:t xml:space="preserve">realization = </w:t>
      </w:r>
      <w:proofErr w:type="spellStart"/>
      <w:r>
        <w:t>plotts.wge</w:t>
      </w:r>
      <w:proofErr w:type="spellEnd"/>
      <w:r>
        <w:t>(</w:t>
      </w:r>
      <w:proofErr w:type="spellStart"/>
      <w:r>
        <w:t>ts</w:t>
      </w:r>
      <w:proofErr w:type="spellEnd"/>
      <w:r>
        <w:t>((</w:t>
      </w:r>
      <w:proofErr w:type="spellStart"/>
      <w:proofErr w:type="gramStart"/>
      <w:r>
        <w:t>btc.monthly</w:t>
      </w:r>
      <w:proofErr w:type="gramEnd"/>
      <w:r>
        <w:t>$Open</w:t>
      </w:r>
      <w:proofErr w:type="spellEnd"/>
      <w:r>
        <w:t>),start = c(</w:t>
      </w:r>
      <w:proofErr w:type="spellStart"/>
      <w:r>
        <w:t>btc.monthly$Date</w:t>
      </w:r>
      <w:proofErr w:type="spellEnd"/>
      <w:r>
        <w:t xml:space="preserve"> == "2014-10-01"),frequency = 1))</w:t>
      </w:r>
    </w:p>
    <w:p w14:paraId="0AE92306" w14:textId="77777777" w:rsidR="00FD5912" w:rsidRDefault="00FD5912" w:rsidP="00FD5912">
      <w:pPr>
        <w:spacing w:line="276" w:lineRule="auto"/>
      </w:pPr>
    </w:p>
    <w:p w14:paraId="2CF1498A" w14:textId="77777777" w:rsidR="00FD5912" w:rsidRDefault="00FD5912" w:rsidP="00FD5912">
      <w:pPr>
        <w:spacing w:line="276" w:lineRule="auto"/>
      </w:pPr>
      <w:r>
        <w:t>#Realizations, Sample Autocorrelations, and Parzen Spectral Densities</w:t>
      </w:r>
    </w:p>
    <w:p w14:paraId="3F9EFAFD" w14:textId="77777777" w:rsidR="00FD5912" w:rsidRDefault="00FD5912" w:rsidP="00FD5912">
      <w:pPr>
        <w:spacing w:line="276" w:lineRule="auto"/>
      </w:pPr>
      <w:proofErr w:type="spellStart"/>
      <w:r>
        <w:t>plotts.sample.wge</w:t>
      </w:r>
      <w:proofErr w:type="spellEnd"/>
      <w:r>
        <w:t>(</w:t>
      </w:r>
      <w:proofErr w:type="spellStart"/>
      <w:proofErr w:type="gramStart"/>
      <w:r>
        <w:t>btc.monthly</w:t>
      </w:r>
      <w:proofErr w:type="gramEnd"/>
      <w:r>
        <w:t>$Open</w:t>
      </w:r>
      <w:proofErr w:type="spellEnd"/>
      <w:r>
        <w:t>)</w:t>
      </w:r>
    </w:p>
    <w:p w14:paraId="510F9D2B" w14:textId="77777777" w:rsidR="00FD5912" w:rsidRDefault="00FD5912" w:rsidP="00FD5912">
      <w:pPr>
        <w:spacing w:line="276" w:lineRule="auto"/>
      </w:pPr>
    </w:p>
    <w:p w14:paraId="5F0D4B9E" w14:textId="77777777" w:rsidR="00FD5912" w:rsidRDefault="00FD5912" w:rsidP="00FD5912">
      <w:pPr>
        <w:spacing w:line="276" w:lineRule="auto"/>
      </w:pPr>
      <w:r>
        <w:t>#Examine factor table</w:t>
      </w:r>
    </w:p>
    <w:p w14:paraId="1C1AD3CD" w14:textId="77777777" w:rsidR="00FD5912" w:rsidRDefault="00FD5912" w:rsidP="00FD5912">
      <w:pPr>
        <w:spacing w:line="276" w:lineRule="auto"/>
      </w:pPr>
      <w:proofErr w:type="spellStart"/>
      <w:r>
        <w:lastRenderedPageBreak/>
        <w:t>est.ar.wge</w:t>
      </w:r>
      <w:proofErr w:type="spellEnd"/>
      <w:r>
        <w:t>(</w:t>
      </w:r>
      <w:proofErr w:type="spellStart"/>
      <w:proofErr w:type="gramStart"/>
      <w:r>
        <w:t>btc.monthly</w:t>
      </w:r>
      <w:proofErr w:type="gramEnd"/>
      <w:r>
        <w:t>$Open,p</w:t>
      </w:r>
      <w:proofErr w:type="spellEnd"/>
      <w:r>
        <w:t>=15,type='burg')</w:t>
      </w:r>
    </w:p>
    <w:p w14:paraId="4C3C2C6C" w14:textId="77777777" w:rsidR="00FD5912" w:rsidRDefault="00FD5912" w:rsidP="00FD5912">
      <w:pPr>
        <w:spacing w:line="276" w:lineRule="auto"/>
      </w:pPr>
    </w:p>
    <w:p w14:paraId="3B8119FB" w14:textId="77777777" w:rsidR="00FD5912" w:rsidRDefault="00FD5912" w:rsidP="00FD5912">
      <w:pPr>
        <w:spacing w:line="276" w:lineRule="auto"/>
      </w:pPr>
      <w:r>
        <w:t>#Cochrane-Orcutt Tests for trends</w:t>
      </w:r>
    </w:p>
    <w:p w14:paraId="62CE777E" w14:textId="77777777" w:rsidR="00FD5912" w:rsidRDefault="00FD5912" w:rsidP="00FD5912">
      <w:pPr>
        <w:spacing w:line="276" w:lineRule="auto"/>
      </w:pPr>
      <w:proofErr w:type="spellStart"/>
      <w:r>
        <w:t>co.wge</w:t>
      </w:r>
      <w:proofErr w:type="spellEnd"/>
      <w:r>
        <w:t>(</w:t>
      </w:r>
      <w:proofErr w:type="spellStart"/>
      <w:proofErr w:type="gramStart"/>
      <w:r>
        <w:t>btc.monthly</w:t>
      </w:r>
      <w:proofErr w:type="gramEnd"/>
      <w:r>
        <w:t>$Open</w:t>
      </w:r>
      <w:proofErr w:type="spellEnd"/>
      <w:r>
        <w:t>) #p-value=2.197806e-05</w:t>
      </w:r>
    </w:p>
    <w:p w14:paraId="25CAF74A" w14:textId="77777777" w:rsidR="00FD5912" w:rsidRDefault="00FD5912" w:rsidP="00FD5912">
      <w:pPr>
        <w:spacing w:line="276" w:lineRule="auto"/>
      </w:pPr>
      <w:r>
        <w:t>#Woodward-Bottone-Gray test for trend</w:t>
      </w:r>
    </w:p>
    <w:p w14:paraId="767D958A" w14:textId="77777777" w:rsidR="00FD5912" w:rsidRDefault="00FD5912" w:rsidP="00FD5912">
      <w:pPr>
        <w:spacing w:line="276" w:lineRule="auto"/>
      </w:pPr>
      <w:proofErr w:type="spellStart"/>
      <w:r>
        <w:t>wbg.boot.wge</w:t>
      </w:r>
      <w:proofErr w:type="spellEnd"/>
      <w:r>
        <w:t>(</w:t>
      </w:r>
      <w:proofErr w:type="spellStart"/>
      <w:proofErr w:type="gramStart"/>
      <w:r>
        <w:t>btc.monthly</w:t>
      </w:r>
      <w:proofErr w:type="gramEnd"/>
      <w:r>
        <w:t>$Open</w:t>
      </w:r>
      <w:proofErr w:type="spellEnd"/>
      <w:r>
        <w:t>) #p-value=0.01754386</w:t>
      </w:r>
    </w:p>
    <w:p w14:paraId="4ADED029" w14:textId="77777777" w:rsidR="00FD5912" w:rsidRDefault="00FD5912" w:rsidP="00FD5912">
      <w:pPr>
        <w:spacing w:line="276" w:lineRule="auto"/>
      </w:pPr>
    </w:p>
    <w:p w14:paraId="60E486A4" w14:textId="77777777" w:rsidR="00FD5912" w:rsidRDefault="00FD5912" w:rsidP="00FD5912">
      <w:pPr>
        <w:spacing w:line="276" w:lineRule="auto"/>
      </w:pPr>
    </w:p>
    <w:p w14:paraId="3A0E21F0" w14:textId="77777777" w:rsidR="00FD5912" w:rsidRDefault="00FD5912" w:rsidP="00FD5912">
      <w:pPr>
        <w:spacing w:line="276" w:lineRule="auto"/>
      </w:pPr>
      <w:r>
        <w:t># Modeling Results #</w:t>
      </w:r>
    </w:p>
    <w:p w14:paraId="4B38BE4B" w14:textId="77777777" w:rsidR="00FD5912" w:rsidRDefault="00FD5912" w:rsidP="00FD5912">
      <w:pPr>
        <w:spacing w:line="276" w:lineRule="auto"/>
      </w:pPr>
    </w:p>
    <w:p w14:paraId="5AE90F5F" w14:textId="77777777" w:rsidR="00FD5912" w:rsidRDefault="00FD5912" w:rsidP="00FD5912">
      <w:pPr>
        <w:spacing w:line="276" w:lineRule="auto"/>
      </w:pPr>
      <w:r>
        <w:t>#Model 1</w:t>
      </w:r>
    </w:p>
    <w:p w14:paraId="39FF9E55" w14:textId="77777777" w:rsidR="00FD5912" w:rsidRDefault="00FD5912" w:rsidP="00FD5912">
      <w:pPr>
        <w:spacing w:line="276" w:lineRule="auto"/>
      </w:pPr>
    </w:p>
    <w:p w14:paraId="1E69EF29" w14:textId="77777777" w:rsidR="00FD5912" w:rsidRDefault="00FD5912" w:rsidP="00FD5912">
      <w:pPr>
        <w:spacing w:line="276" w:lineRule="auto"/>
      </w:pPr>
      <w:r>
        <w:t>#Identify top candidate models for data</w:t>
      </w:r>
    </w:p>
    <w:p w14:paraId="6108A7EC" w14:textId="77777777" w:rsidR="00FD5912" w:rsidRDefault="00FD5912" w:rsidP="00FD5912">
      <w:pPr>
        <w:spacing w:line="276" w:lineRule="auto"/>
      </w:pPr>
      <w:r>
        <w:t>aic5.wge(</w:t>
      </w:r>
      <w:proofErr w:type="spellStart"/>
      <w:proofErr w:type="gramStart"/>
      <w:r>
        <w:t>btc.monthly</w:t>
      </w:r>
      <w:proofErr w:type="gramEnd"/>
      <w:r>
        <w:t>$Open,p</w:t>
      </w:r>
      <w:proofErr w:type="spellEnd"/>
      <w:r>
        <w:t>=0:12,q=0:4,type='</w:t>
      </w:r>
      <w:proofErr w:type="spellStart"/>
      <w:r>
        <w:t>aic</w:t>
      </w:r>
      <w:proofErr w:type="spellEnd"/>
      <w:r>
        <w:t>') #ARMA(9,4), ARMA(3,2), ARMA(6,3)</w:t>
      </w:r>
    </w:p>
    <w:p w14:paraId="241EF322" w14:textId="77777777" w:rsidR="00FD5912" w:rsidRDefault="00FD5912" w:rsidP="00FD5912">
      <w:pPr>
        <w:spacing w:line="276" w:lineRule="auto"/>
      </w:pPr>
    </w:p>
    <w:p w14:paraId="5262367E" w14:textId="77777777" w:rsidR="00FD5912" w:rsidRDefault="00FD5912" w:rsidP="00FD5912">
      <w:pPr>
        <w:spacing w:line="276" w:lineRule="auto"/>
      </w:pPr>
      <w:r>
        <w:t>#Factor table for top models</w:t>
      </w:r>
    </w:p>
    <w:p w14:paraId="1CD16321" w14:textId="77777777" w:rsidR="00FD5912" w:rsidRDefault="00FD5912" w:rsidP="00FD5912">
      <w:pPr>
        <w:spacing w:line="276" w:lineRule="auto"/>
      </w:pPr>
      <w:r>
        <w:t xml:space="preserve">model1 = </w:t>
      </w:r>
      <w:proofErr w:type="spellStart"/>
      <w:r>
        <w:t>est.arma.wge</w:t>
      </w:r>
      <w:proofErr w:type="spellEnd"/>
      <w:r>
        <w:t>(</w:t>
      </w:r>
      <w:proofErr w:type="spellStart"/>
      <w:proofErr w:type="gramStart"/>
      <w:r>
        <w:t>btc.monthly</w:t>
      </w:r>
      <w:proofErr w:type="gramEnd"/>
      <w:r>
        <w:t>$Open,p</w:t>
      </w:r>
      <w:proofErr w:type="spellEnd"/>
      <w:r>
        <w:t>=9,q=4,factor=TRUE) #ARMA(9,4)</w:t>
      </w:r>
    </w:p>
    <w:p w14:paraId="27D4BD49" w14:textId="77777777" w:rsidR="00FD5912" w:rsidRDefault="00FD5912" w:rsidP="00FD5912">
      <w:pPr>
        <w:spacing w:line="276" w:lineRule="auto"/>
      </w:pPr>
      <w:r>
        <w:t xml:space="preserve">model2 = </w:t>
      </w:r>
      <w:proofErr w:type="spellStart"/>
      <w:r>
        <w:t>est.arma.wge</w:t>
      </w:r>
      <w:proofErr w:type="spellEnd"/>
      <w:r>
        <w:t>(</w:t>
      </w:r>
      <w:proofErr w:type="spellStart"/>
      <w:proofErr w:type="gramStart"/>
      <w:r>
        <w:t>btc.monthly</w:t>
      </w:r>
      <w:proofErr w:type="gramEnd"/>
      <w:r>
        <w:t>$Open,p</w:t>
      </w:r>
      <w:proofErr w:type="spellEnd"/>
      <w:r>
        <w:t>=3,q=2,factor=TRUE) #ARMA(3,2)</w:t>
      </w:r>
    </w:p>
    <w:p w14:paraId="276E5A42" w14:textId="77777777" w:rsidR="00FD5912" w:rsidRDefault="00FD5912" w:rsidP="00FD5912">
      <w:pPr>
        <w:spacing w:line="276" w:lineRule="auto"/>
      </w:pPr>
      <w:r>
        <w:t xml:space="preserve">model3 = </w:t>
      </w:r>
      <w:proofErr w:type="spellStart"/>
      <w:r>
        <w:t>est.arma.wge</w:t>
      </w:r>
      <w:proofErr w:type="spellEnd"/>
      <w:r>
        <w:t>(</w:t>
      </w:r>
      <w:proofErr w:type="spellStart"/>
      <w:proofErr w:type="gramStart"/>
      <w:r>
        <w:t>btc.monthly</w:t>
      </w:r>
      <w:proofErr w:type="gramEnd"/>
      <w:r>
        <w:t>$Open,p</w:t>
      </w:r>
      <w:proofErr w:type="spellEnd"/>
      <w:r>
        <w:t>=6,q=3,factor=TRUE) #ARMA(6,3)</w:t>
      </w:r>
    </w:p>
    <w:p w14:paraId="4F896D6B" w14:textId="77777777" w:rsidR="00FD5912" w:rsidRDefault="00FD5912" w:rsidP="00FD5912">
      <w:pPr>
        <w:spacing w:line="276" w:lineRule="auto"/>
      </w:pPr>
      <w:r>
        <w:t xml:space="preserve">#Chosen = </w:t>
      </w:r>
      <w:proofErr w:type="gramStart"/>
      <w:r>
        <w:t>ARMA(</w:t>
      </w:r>
      <w:proofErr w:type="gramEnd"/>
      <w:r>
        <w:t>3,2)</w:t>
      </w:r>
    </w:p>
    <w:p w14:paraId="66377ABC" w14:textId="77777777" w:rsidR="00FD5912" w:rsidRDefault="00FD5912" w:rsidP="00FD5912">
      <w:pPr>
        <w:spacing w:line="276" w:lineRule="auto"/>
      </w:pPr>
    </w:p>
    <w:p w14:paraId="796C6878" w14:textId="77777777" w:rsidR="00FD5912" w:rsidRDefault="00FD5912" w:rsidP="00FD5912">
      <w:pPr>
        <w:spacing w:line="276" w:lineRule="auto"/>
      </w:pPr>
      <w:r>
        <w:t>#Check 'whiteness' of residuals</w:t>
      </w:r>
    </w:p>
    <w:p w14:paraId="4EF0AC31" w14:textId="77777777" w:rsidR="00FD5912" w:rsidRDefault="00FD5912" w:rsidP="00FD5912">
      <w:pPr>
        <w:spacing w:line="276" w:lineRule="auto"/>
      </w:pPr>
      <w:r>
        <w:t>model2$res</w:t>
      </w:r>
    </w:p>
    <w:p w14:paraId="020AC386" w14:textId="77777777" w:rsidR="00FD5912" w:rsidRDefault="00FD5912" w:rsidP="00FD5912">
      <w:pPr>
        <w:spacing w:line="276" w:lineRule="auto"/>
      </w:pPr>
      <w:r>
        <w:t>#Plot residuals</w:t>
      </w:r>
    </w:p>
    <w:p w14:paraId="71FB987C" w14:textId="77777777" w:rsidR="00FD5912" w:rsidRDefault="00FD5912" w:rsidP="00FD5912">
      <w:pPr>
        <w:spacing w:line="276" w:lineRule="auto"/>
      </w:pPr>
      <w:proofErr w:type="spellStart"/>
      <w:r>
        <w:t>plotts.sample.wge</w:t>
      </w:r>
      <w:proofErr w:type="spellEnd"/>
      <w:r>
        <w:t>(model2$</w:t>
      </w:r>
      <w:proofErr w:type="gramStart"/>
      <w:r>
        <w:t>res,lag.max</w:t>
      </w:r>
      <w:proofErr w:type="gramEnd"/>
      <w:r>
        <w:t>=48,arlimits=TRUE)</w:t>
      </w:r>
    </w:p>
    <w:p w14:paraId="5C15BEB7" w14:textId="77777777" w:rsidR="00FD5912" w:rsidRDefault="00FD5912" w:rsidP="00FD5912">
      <w:pPr>
        <w:spacing w:line="276" w:lineRule="auto"/>
      </w:pPr>
    </w:p>
    <w:p w14:paraId="49425204" w14:textId="77777777" w:rsidR="00FD5912" w:rsidRDefault="00FD5912" w:rsidP="00FD5912">
      <w:pPr>
        <w:spacing w:line="276" w:lineRule="auto"/>
      </w:pPr>
      <w:r>
        <w:t>#Ljung-Box test results for K=24 and K=48</w:t>
      </w:r>
    </w:p>
    <w:p w14:paraId="10512DA3" w14:textId="77777777" w:rsidR="00FD5912" w:rsidRDefault="00FD5912" w:rsidP="00FD5912">
      <w:pPr>
        <w:spacing w:line="276" w:lineRule="auto"/>
      </w:pPr>
      <w:proofErr w:type="spellStart"/>
      <w:r>
        <w:t>ljung.wge</w:t>
      </w:r>
      <w:proofErr w:type="spellEnd"/>
      <w:r>
        <w:t>(model2$</w:t>
      </w:r>
      <w:proofErr w:type="gramStart"/>
      <w:r>
        <w:t>res,p</w:t>
      </w:r>
      <w:proofErr w:type="gramEnd"/>
      <w:r>
        <w:t>=3,q=2) #K=24 is the default</w:t>
      </w:r>
    </w:p>
    <w:p w14:paraId="155072F3" w14:textId="77777777" w:rsidR="00FD5912" w:rsidRDefault="00FD5912" w:rsidP="00FD5912">
      <w:pPr>
        <w:spacing w:line="276" w:lineRule="auto"/>
      </w:pPr>
      <w:proofErr w:type="spellStart"/>
      <w:r>
        <w:t>ljung.wge</w:t>
      </w:r>
      <w:proofErr w:type="spellEnd"/>
      <w:r>
        <w:t>(model2$</w:t>
      </w:r>
      <w:proofErr w:type="gramStart"/>
      <w:r>
        <w:t>res,p</w:t>
      </w:r>
      <w:proofErr w:type="gramEnd"/>
      <w:r>
        <w:t>=3,q=2,K=48)</w:t>
      </w:r>
    </w:p>
    <w:p w14:paraId="4A56989D" w14:textId="77777777" w:rsidR="00FD5912" w:rsidRDefault="00FD5912" w:rsidP="00FD5912">
      <w:pPr>
        <w:spacing w:line="276" w:lineRule="auto"/>
      </w:pPr>
      <w:r>
        <w:t>#K=24: p-value is 0.4987081</w:t>
      </w:r>
    </w:p>
    <w:p w14:paraId="77298BAF" w14:textId="77777777" w:rsidR="00FD5912" w:rsidRDefault="00FD5912" w:rsidP="00FD5912">
      <w:pPr>
        <w:spacing w:line="276" w:lineRule="auto"/>
      </w:pPr>
      <w:r>
        <w:t>#K=</w:t>
      </w:r>
      <w:proofErr w:type="gramStart"/>
      <w:r>
        <w:t>48:p</w:t>
      </w:r>
      <w:proofErr w:type="gramEnd"/>
      <w:r>
        <w:t>-value is 0.6587886</w:t>
      </w:r>
    </w:p>
    <w:p w14:paraId="0FE0B1D0" w14:textId="77777777" w:rsidR="00FD5912" w:rsidRDefault="00FD5912" w:rsidP="00FD5912">
      <w:pPr>
        <w:spacing w:line="276" w:lineRule="auto"/>
      </w:pPr>
    </w:p>
    <w:p w14:paraId="3A122825" w14:textId="77777777" w:rsidR="00FD5912" w:rsidRDefault="00FD5912" w:rsidP="00FD5912">
      <w:pPr>
        <w:spacing w:line="276" w:lineRule="auto"/>
      </w:pPr>
      <w:r>
        <w:t>#Forecasting performance</w:t>
      </w:r>
    </w:p>
    <w:p w14:paraId="659AD407" w14:textId="77777777" w:rsidR="00FD5912" w:rsidRDefault="00FD5912" w:rsidP="00FD5912">
      <w:pPr>
        <w:spacing w:line="276" w:lineRule="auto"/>
      </w:pPr>
      <w:r>
        <w:t>model2.forecast=fore.arma.wge(</w:t>
      </w:r>
      <w:proofErr w:type="gramStart"/>
      <w:r>
        <w:t>btc.monthly</w:t>
      </w:r>
      <w:proofErr w:type="gramEnd"/>
      <w:r>
        <w:t>$Open,phi=model2$phi,theta=model2$theta,n.ahead=10,lastn=TRUE,limits=FALSE)</w:t>
      </w:r>
    </w:p>
    <w:p w14:paraId="7FC50068" w14:textId="77777777" w:rsidR="00FD5912" w:rsidRDefault="00FD5912" w:rsidP="00FD5912">
      <w:pPr>
        <w:spacing w:line="276" w:lineRule="auto"/>
      </w:pPr>
      <w:r>
        <w:t>model2.forecast$f</w:t>
      </w:r>
    </w:p>
    <w:p w14:paraId="43AD9D40" w14:textId="77777777" w:rsidR="00FD5912" w:rsidRDefault="00FD5912" w:rsidP="00FD5912">
      <w:pPr>
        <w:spacing w:line="276" w:lineRule="auto"/>
      </w:pPr>
      <w:r>
        <w:t>#RMSE</w:t>
      </w:r>
    </w:p>
    <w:p w14:paraId="767689AC" w14:textId="77777777" w:rsidR="00FD5912" w:rsidRDefault="00FD5912" w:rsidP="00FD5912">
      <w:pPr>
        <w:spacing w:line="276" w:lineRule="auto"/>
      </w:pPr>
      <w:r>
        <w:t>sqrt(mean((model2.forecast$</w:t>
      </w:r>
      <w:proofErr w:type="gramStart"/>
      <w:r>
        <w:t>se)^</w:t>
      </w:r>
      <w:proofErr w:type="gramEnd"/>
      <w:r>
        <w:t>2)) #10010.86</w:t>
      </w:r>
    </w:p>
    <w:p w14:paraId="3C8C7B21" w14:textId="77777777" w:rsidR="00FD5912" w:rsidRDefault="00FD5912" w:rsidP="00FD5912">
      <w:pPr>
        <w:spacing w:line="276" w:lineRule="auto"/>
      </w:pPr>
      <w:r>
        <w:lastRenderedPageBreak/>
        <w:t>#MAD</w:t>
      </w:r>
    </w:p>
    <w:p w14:paraId="745C6D56" w14:textId="77777777" w:rsidR="00FD5912" w:rsidRDefault="00FD5912" w:rsidP="00FD5912">
      <w:pPr>
        <w:spacing w:line="276" w:lineRule="auto"/>
      </w:pPr>
      <w:r>
        <w:t>mean(</w:t>
      </w:r>
      <w:proofErr w:type="gramStart"/>
      <w:r>
        <w:t>abs(</w:t>
      </w:r>
      <w:proofErr w:type="gramEnd"/>
      <w:r>
        <w:t>model2.forecast$se)) #9133.65</w:t>
      </w:r>
    </w:p>
    <w:p w14:paraId="18DB7FF8" w14:textId="77777777" w:rsidR="00FD5912" w:rsidRDefault="00FD5912" w:rsidP="00FD5912">
      <w:pPr>
        <w:spacing w:line="276" w:lineRule="auto"/>
      </w:pPr>
      <w:r>
        <w:t>#Model doesn't perform too well!</w:t>
      </w:r>
    </w:p>
    <w:p w14:paraId="37C90D29" w14:textId="77777777" w:rsidR="00FD5912" w:rsidRDefault="00FD5912" w:rsidP="00FD5912">
      <w:pPr>
        <w:spacing w:line="276" w:lineRule="auto"/>
      </w:pPr>
    </w:p>
    <w:p w14:paraId="370A9CFC" w14:textId="77777777" w:rsidR="00FD5912" w:rsidRDefault="00FD5912" w:rsidP="00FD5912">
      <w:pPr>
        <w:spacing w:line="276" w:lineRule="auto"/>
      </w:pPr>
    </w:p>
    <w:p w14:paraId="2D354724" w14:textId="77777777" w:rsidR="00FD5912" w:rsidRDefault="00FD5912" w:rsidP="00FD5912">
      <w:pPr>
        <w:spacing w:line="276" w:lineRule="auto"/>
      </w:pPr>
      <w:r>
        <w:t>#Model 2</w:t>
      </w:r>
    </w:p>
    <w:p w14:paraId="6FF6F084" w14:textId="77777777" w:rsidR="00FD5912" w:rsidRDefault="00FD5912" w:rsidP="00FD5912">
      <w:pPr>
        <w:spacing w:line="276" w:lineRule="auto"/>
      </w:pPr>
    </w:p>
    <w:p w14:paraId="6F75D9E2" w14:textId="77777777" w:rsidR="00FD5912" w:rsidRDefault="00FD5912" w:rsidP="00FD5912">
      <w:pPr>
        <w:spacing w:line="276" w:lineRule="auto"/>
      </w:pPr>
      <w:r>
        <w:t>#Fit an ARIMA model with (1-B^12) roots</w:t>
      </w:r>
    </w:p>
    <w:p w14:paraId="17349C87" w14:textId="77777777" w:rsidR="00FD5912" w:rsidRDefault="00FD5912" w:rsidP="00FD5912">
      <w:pPr>
        <w:spacing w:line="276" w:lineRule="auto"/>
      </w:pPr>
      <w:r>
        <w:t>d_btc1=artrans.wge(</w:t>
      </w:r>
      <w:proofErr w:type="gramStart"/>
      <w:r>
        <w:t>btc.monthly</w:t>
      </w:r>
      <w:proofErr w:type="gramEnd"/>
      <w:r>
        <w:t>$Open,phi.tr=c(rep(0,12)),plot=TRUE)</w:t>
      </w:r>
    </w:p>
    <w:p w14:paraId="5865B066" w14:textId="77777777" w:rsidR="00FD5912" w:rsidRDefault="00FD5912" w:rsidP="00FD5912">
      <w:pPr>
        <w:spacing w:line="276" w:lineRule="auto"/>
      </w:pPr>
      <w:r>
        <w:t>d_btc2=</w:t>
      </w:r>
      <w:proofErr w:type="spellStart"/>
      <w:r>
        <w:t>artrans.wge</w:t>
      </w:r>
      <w:proofErr w:type="spellEnd"/>
      <w:r>
        <w:t>(d_btc</w:t>
      </w:r>
      <w:proofErr w:type="gramStart"/>
      <w:r>
        <w:t>1,phi.tr</w:t>
      </w:r>
      <w:proofErr w:type="gramEnd"/>
      <w:r>
        <w:t>=1)</w:t>
      </w:r>
    </w:p>
    <w:p w14:paraId="502D0C39" w14:textId="77777777" w:rsidR="00FD5912" w:rsidRDefault="00FD5912" w:rsidP="00FD5912">
      <w:pPr>
        <w:spacing w:line="276" w:lineRule="auto"/>
      </w:pPr>
      <w:proofErr w:type="spellStart"/>
      <w:r>
        <w:t>aic.wge</w:t>
      </w:r>
      <w:proofErr w:type="spellEnd"/>
      <w:r>
        <w:t>(d_btc</w:t>
      </w:r>
      <w:proofErr w:type="gramStart"/>
      <w:r>
        <w:t>2,p</w:t>
      </w:r>
      <w:proofErr w:type="gramEnd"/>
      <w:r>
        <w:t>=0:10,q=0:2)</w:t>
      </w:r>
    </w:p>
    <w:p w14:paraId="6B3AD85F" w14:textId="77777777" w:rsidR="00FD5912" w:rsidRDefault="00FD5912" w:rsidP="00FD5912">
      <w:pPr>
        <w:spacing w:line="276" w:lineRule="auto"/>
      </w:pPr>
      <w:proofErr w:type="spellStart"/>
      <w:proofErr w:type="gramStart"/>
      <w:r>
        <w:t>btc.model</w:t>
      </w:r>
      <w:proofErr w:type="spellEnd"/>
      <w:proofErr w:type="gramEnd"/>
      <w:r>
        <w:t xml:space="preserve"> = </w:t>
      </w:r>
      <w:proofErr w:type="spellStart"/>
      <w:r>
        <w:t>est.arma.wge</w:t>
      </w:r>
      <w:proofErr w:type="spellEnd"/>
      <w:r>
        <w:t>(d_btc2,p=3,q=0)</w:t>
      </w:r>
    </w:p>
    <w:p w14:paraId="4B8BA368" w14:textId="77777777" w:rsidR="00FD5912" w:rsidRDefault="00FD5912" w:rsidP="00FD5912">
      <w:pPr>
        <w:spacing w:line="276" w:lineRule="auto"/>
      </w:pPr>
      <w:r>
        <w:t>#phi = 0.27586863, 0.07772535, 0.38366067</w:t>
      </w:r>
    </w:p>
    <w:p w14:paraId="4708A007" w14:textId="77777777" w:rsidR="00FD5912" w:rsidRDefault="00FD5912" w:rsidP="00FD5912">
      <w:pPr>
        <w:spacing w:line="276" w:lineRule="auto"/>
      </w:pPr>
      <w:r>
        <w:t>#var = 6021575</w:t>
      </w:r>
    </w:p>
    <w:p w14:paraId="30EFFED1" w14:textId="77777777" w:rsidR="00FD5912" w:rsidRDefault="00FD5912" w:rsidP="00FD5912">
      <w:pPr>
        <w:spacing w:line="276" w:lineRule="auto"/>
      </w:pPr>
    </w:p>
    <w:p w14:paraId="020F5C57" w14:textId="77777777" w:rsidR="00FD5912" w:rsidRDefault="00FD5912" w:rsidP="00FD5912">
      <w:pPr>
        <w:spacing w:line="276" w:lineRule="auto"/>
      </w:pPr>
    </w:p>
    <w:p w14:paraId="225622DD" w14:textId="77777777" w:rsidR="00FD5912" w:rsidRDefault="00FD5912" w:rsidP="00FD5912">
      <w:pPr>
        <w:spacing w:line="276" w:lineRule="auto"/>
      </w:pPr>
      <w:r>
        <w:t>#Check 'whiteness' of residuals</w:t>
      </w:r>
    </w:p>
    <w:p w14:paraId="5D844709" w14:textId="77777777" w:rsidR="00FD5912" w:rsidRDefault="00FD5912" w:rsidP="00FD5912">
      <w:pPr>
        <w:spacing w:line="276" w:lineRule="auto"/>
      </w:pPr>
      <w:proofErr w:type="spellStart"/>
      <w:proofErr w:type="gramStart"/>
      <w:r>
        <w:t>btc.model</w:t>
      </w:r>
      <w:proofErr w:type="gramEnd"/>
      <w:r>
        <w:t>$res</w:t>
      </w:r>
      <w:proofErr w:type="spellEnd"/>
    </w:p>
    <w:p w14:paraId="36A61171" w14:textId="77777777" w:rsidR="00FD5912" w:rsidRDefault="00FD5912" w:rsidP="00FD5912">
      <w:pPr>
        <w:spacing w:line="276" w:lineRule="auto"/>
      </w:pPr>
      <w:r>
        <w:t>#Plot of residuals</w:t>
      </w:r>
    </w:p>
    <w:p w14:paraId="1BF7E87B" w14:textId="77777777" w:rsidR="00FD5912" w:rsidRDefault="00FD5912" w:rsidP="00FD5912">
      <w:pPr>
        <w:spacing w:line="276" w:lineRule="auto"/>
      </w:pPr>
      <w:proofErr w:type="spellStart"/>
      <w:r>
        <w:t>plotts.sample.wge</w:t>
      </w:r>
      <w:proofErr w:type="spellEnd"/>
      <w:r>
        <w:t>(</w:t>
      </w:r>
      <w:proofErr w:type="spellStart"/>
      <w:proofErr w:type="gramStart"/>
      <w:r>
        <w:t>btc.model</w:t>
      </w:r>
      <w:proofErr w:type="gramEnd"/>
      <w:r>
        <w:t>$res,lag.max</w:t>
      </w:r>
      <w:proofErr w:type="spellEnd"/>
      <w:r>
        <w:t>=48,arlimits=TRUE)</w:t>
      </w:r>
    </w:p>
    <w:p w14:paraId="109E74A7" w14:textId="77777777" w:rsidR="00FD5912" w:rsidRDefault="00FD5912" w:rsidP="00FD5912">
      <w:pPr>
        <w:spacing w:line="276" w:lineRule="auto"/>
      </w:pPr>
    </w:p>
    <w:p w14:paraId="29EDE676" w14:textId="77777777" w:rsidR="00FD5912" w:rsidRDefault="00FD5912" w:rsidP="00FD5912">
      <w:pPr>
        <w:spacing w:line="276" w:lineRule="auto"/>
      </w:pPr>
    </w:p>
    <w:p w14:paraId="26AF14C3" w14:textId="77777777" w:rsidR="00FD5912" w:rsidRDefault="00FD5912" w:rsidP="00FD5912">
      <w:pPr>
        <w:spacing w:line="276" w:lineRule="auto"/>
      </w:pPr>
      <w:r>
        <w:t>#Ljung-Box test results for K=24 and K=48</w:t>
      </w:r>
    </w:p>
    <w:p w14:paraId="25BC32CA" w14:textId="77777777" w:rsidR="00FD5912" w:rsidRDefault="00FD5912" w:rsidP="00FD5912">
      <w:pPr>
        <w:spacing w:line="276" w:lineRule="auto"/>
      </w:pPr>
      <w:proofErr w:type="spellStart"/>
      <w:r>
        <w:t>ljung.wge</w:t>
      </w:r>
      <w:proofErr w:type="spellEnd"/>
      <w:r>
        <w:t>(</w:t>
      </w:r>
      <w:proofErr w:type="spellStart"/>
      <w:proofErr w:type="gramStart"/>
      <w:r>
        <w:t>btc.model</w:t>
      </w:r>
      <w:proofErr w:type="gramEnd"/>
      <w:r>
        <w:t>$res,p</w:t>
      </w:r>
      <w:proofErr w:type="spellEnd"/>
      <w:r>
        <w:t>=3,q=0) #K=24 is the default</w:t>
      </w:r>
    </w:p>
    <w:p w14:paraId="3FF540D5" w14:textId="77777777" w:rsidR="00FD5912" w:rsidRDefault="00FD5912" w:rsidP="00FD5912">
      <w:pPr>
        <w:spacing w:line="276" w:lineRule="auto"/>
      </w:pPr>
      <w:proofErr w:type="spellStart"/>
      <w:r>
        <w:t>ljung.wge</w:t>
      </w:r>
      <w:proofErr w:type="spellEnd"/>
      <w:r>
        <w:t>(</w:t>
      </w:r>
      <w:proofErr w:type="spellStart"/>
      <w:proofErr w:type="gramStart"/>
      <w:r>
        <w:t>btc.model</w:t>
      </w:r>
      <w:proofErr w:type="gramEnd"/>
      <w:r>
        <w:t>$res,p</w:t>
      </w:r>
      <w:proofErr w:type="spellEnd"/>
      <w:r>
        <w:t>=3,q=0,K=48)</w:t>
      </w:r>
    </w:p>
    <w:p w14:paraId="3EC4EFDD" w14:textId="77777777" w:rsidR="00FD5912" w:rsidRDefault="00FD5912" w:rsidP="00FD5912">
      <w:pPr>
        <w:spacing w:line="276" w:lineRule="auto"/>
      </w:pPr>
      <w:r>
        <w:t>#K=24: p-value is 0.9459546</w:t>
      </w:r>
    </w:p>
    <w:p w14:paraId="2432CBE0" w14:textId="77777777" w:rsidR="00FD5912" w:rsidRDefault="00FD5912" w:rsidP="00FD5912">
      <w:pPr>
        <w:spacing w:line="276" w:lineRule="auto"/>
      </w:pPr>
      <w:r>
        <w:t>#K=</w:t>
      </w:r>
      <w:proofErr w:type="gramStart"/>
      <w:r>
        <w:t>48:p</w:t>
      </w:r>
      <w:proofErr w:type="gramEnd"/>
      <w:r>
        <w:t>-value is 0.9689315</w:t>
      </w:r>
    </w:p>
    <w:p w14:paraId="4BC41B01" w14:textId="77777777" w:rsidR="00FD5912" w:rsidRDefault="00FD5912" w:rsidP="00FD5912">
      <w:pPr>
        <w:spacing w:line="276" w:lineRule="auto"/>
      </w:pPr>
    </w:p>
    <w:p w14:paraId="3D4CCBE8" w14:textId="77777777" w:rsidR="00FD5912" w:rsidRDefault="00FD5912" w:rsidP="00FD5912">
      <w:pPr>
        <w:spacing w:line="276" w:lineRule="auto"/>
      </w:pPr>
    </w:p>
    <w:p w14:paraId="46375541" w14:textId="77777777" w:rsidR="00FD5912" w:rsidRDefault="00FD5912" w:rsidP="00FD5912">
      <w:pPr>
        <w:spacing w:line="276" w:lineRule="auto"/>
      </w:pPr>
      <w:r>
        <w:t>#Forecasting performance</w:t>
      </w:r>
    </w:p>
    <w:p w14:paraId="53CE6D83" w14:textId="77777777" w:rsidR="00FD5912" w:rsidRDefault="00FD5912" w:rsidP="00FD5912">
      <w:pPr>
        <w:spacing w:line="276" w:lineRule="auto"/>
      </w:pPr>
      <w:proofErr w:type="gramStart"/>
      <w:r>
        <w:t>btc.model</w:t>
      </w:r>
      <w:proofErr w:type="gramEnd"/>
      <w:r>
        <w:t>.forecast=fore.arma.wge(btc.monthly$Open,phi=btc.model$phi,theta=btc.model$theta,n.ahead=10,lastn=TRUE,limits=FALSE)</w:t>
      </w:r>
    </w:p>
    <w:p w14:paraId="314C1EB2" w14:textId="77777777" w:rsidR="00FD5912" w:rsidRDefault="00FD5912" w:rsidP="00FD5912">
      <w:pPr>
        <w:spacing w:line="276" w:lineRule="auto"/>
      </w:pPr>
      <w:proofErr w:type="spellStart"/>
      <w:proofErr w:type="gramStart"/>
      <w:r>
        <w:t>btc.model</w:t>
      </w:r>
      <w:proofErr w:type="gramEnd"/>
      <w:r>
        <w:t>.forecast$f</w:t>
      </w:r>
      <w:proofErr w:type="spellEnd"/>
    </w:p>
    <w:p w14:paraId="50425FEA" w14:textId="77777777" w:rsidR="00FD5912" w:rsidRDefault="00FD5912" w:rsidP="00FD5912">
      <w:pPr>
        <w:spacing w:line="276" w:lineRule="auto"/>
      </w:pPr>
      <w:r>
        <w:t>#RMSE</w:t>
      </w:r>
    </w:p>
    <w:p w14:paraId="1D667844" w14:textId="77777777" w:rsidR="00FD5912" w:rsidRDefault="00FD5912" w:rsidP="00FD5912">
      <w:pPr>
        <w:spacing w:line="276" w:lineRule="auto"/>
      </w:pPr>
      <w:r>
        <w:t>sqrt(mean((</w:t>
      </w:r>
      <w:proofErr w:type="spellStart"/>
      <w:proofErr w:type="gramStart"/>
      <w:r>
        <w:t>btc.model</w:t>
      </w:r>
      <w:proofErr w:type="gramEnd"/>
      <w:r>
        <w:t>.forecast$se</w:t>
      </w:r>
      <w:proofErr w:type="spellEnd"/>
      <w:r>
        <w:t>)^2)) #7132.217</w:t>
      </w:r>
    </w:p>
    <w:p w14:paraId="7F207D86" w14:textId="77777777" w:rsidR="00FD5912" w:rsidRDefault="00FD5912" w:rsidP="00FD5912">
      <w:pPr>
        <w:spacing w:line="276" w:lineRule="auto"/>
      </w:pPr>
      <w:r>
        <w:t>#MAD</w:t>
      </w:r>
    </w:p>
    <w:p w14:paraId="5C7C6F8B" w14:textId="1C7C800F" w:rsidR="00723648" w:rsidRPr="002E62EE" w:rsidRDefault="00FD5912" w:rsidP="00FD5912">
      <w:pPr>
        <w:spacing w:line="276" w:lineRule="auto"/>
      </w:pPr>
      <w:r>
        <w:t>mean(abs(</w:t>
      </w:r>
      <w:proofErr w:type="spellStart"/>
      <w:proofErr w:type="gramStart"/>
      <w:r>
        <w:t>btc.model</w:t>
      </w:r>
      <w:proofErr w:type="gramEnd"/>
      <w:r>
        <w:t>.forecast$se</w:t>
      </w:r>
      <w:proofErr w:type="spellEnd"/>
      <w:r>
        <w:t>)) #7115.181</w:t>
      </w:r>
    </w:p>
    <w:sectPr w:rsidR="00723648" w:rsidRPr="002E62EE" w:rsidSect="008E7ED8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2A55B" w14:textId="77777777" w:rsidR="003F7440" w:rsidRDefault="003F7440" w:rsidP="004B52E5">
      <w:r>
        <w:separator/>
      </w:r>
    </w:p>
  </w:endnote>
  <w:endnote w:type="continuationSeparator" w:id="0">
    <w:p w14:paraId="5B449BB4" w14:textId="77777777" w:rsidR="003F7440" w:rsidRDefault="003F7440" w:rsidP="004B5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5778C" w14:textId="77777777" w:rsidR="003F7440" w:rsidRDefault="003F7440" w:rsidP="004B52E5">
      <w:r>
        <w:separator/>
      </w:r>
    </w:p>
  </w:footnote>
  <w:footnote w:type="continuationSeparator" w:id="0">
    <w:p w14:paraId="7D8FDEDE" w14:textId="77777777" w:rsidR="003F7440" w:rsidRDefault="003F7440" w:rsidP="004B52E5">
      <w:r>
        <w:continuationSeparator/>
      </w:r>
    </w:p>
  </w:footnote>
  <w:footnote w:id="1">
    <w:p w14:paraId="22DF567A" w14:textId="2605FF67" w:rsidR="00C4744B" w:rsidRDefault="00C4744B">
      <w:pPr>
        <w:pStyle w:val="FootnoteText"/>
      </w:pPr>
      <w:r>
        <w:rPr>
          <w:rStyle w:val="FootnoteReference"/>
        </w:rPr>
        <w:footnoteRef/>
      </w:r>
      <w:r w:rsidR="00763964">
        <w:t xml:space="preserve"> </w:t>
      </w:r>
      <w:r w:rsidR="00A03762">
        <w:t>C</w:t>
      </w:r>
      <w:r w:rsidR="00181238">
        <w:t xml:space="preserve">rypto currencies other than </w:t>
      </w:r>
      <w:r w:rsidR="006E7B05">
        <w:t>B</w:t>
      </w:r>
      <w:r w:rsidR="00395EFD">
        <w:t>itcoin (BTC)</w:t>
      </w:r>
      <w:r w:rsidR="009A7CA6">
        <w:t xml:space="preserve">, or </w:t>
      </w:r>
      <w:r w:rsidR="00356B1E">
        <w:t xml:space="preserve">a currency that </w:t>
      </w:r>
      <w:r w:rsidR="00B26558">
        <w:t xml:space="preserve">distinguishes itself by providing </w:t>
      </w:r>
      <w:r w:rsidR="00862E93">
        <w:t>new or additional capabilities</w:t>
      </w:r>
      <w:r w:rsidR="00F036AB">
        <w:t>,</w:t>
      </w:r>
      <w:r w:rsidR="004772C3">
        <w:t xml:space="preserve"> such as</w:t>
      </w:r>
      <w:r w:rsidR="005C2CAA">
        <w:t xml:space="preserve"> </w:t>
      </w:r>
      <w:r w:rsidR="00815780">
        <w:t>smart contracts</w:t>
      </w:r>
      <w:r w:rsidR="00305AA3">
        <w:t>.</w:t>
      </w:r>
    </w:p>
  </w:footnote>
  <w:footnote w:id="2">
    <w:p w14:paraId="06760D8A" w14:textId="411F876D" w:rsidR="00A03762" w:rsidRDefault="00A037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B2724">
        <w:t>P</w:t>
      </w:r>
      <w:r w:rsidRPr="00A03762">
        <w:t>resumed to be a pseudonym for the person</w:t>
      </w:r>
      <w:r w:rsidR="004132F7">
        <w:t>,</w:t>
      </w:r>
      <w:r w:rsidRPr="00A03762">
        <w:t xml:space="preserve"> or people</w:t>
      </w:r>
      <w:r w:rsidR="000D3BA4">
        <w:t>,</w:t>
      </w:r>
      <w:r w:rsidRPr="00A03762">
        <w:t xml:space="preserve"> who </w:t>
      </w:r>
      <w:r w:rsidR="00282933">
        <w:t>created</w:t>
      </w:r>
      <w:r w:rsidRPr="00A03762">
        <w:t xml:space="preserve"> the original bitcoin </w:t>
      </w:r>
      <w:r w:rsidR="007A0174">
        <w:t>network</w:t>
      </w:r>
    </w:p>
  </w:footnote>
  <w:footnote w:id="3">
    <w:p w14:paraId="3C0636A4" w14:textId="77E89B30" w:rsidR="007B617D" w:rsidRDefault="007B617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B617D">
        <w:t>A moderate decline in an asset's value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CD445" w14:textId="77777777" w:rsidR="008E7ED8" w:rsidRDefault="008E7ED8" w:rsidP="008E7ED8">
    <w:pPr>
      <w:pStyle w:val="Header"/>
    </w:pPr>
    <w:r>
      <w:t>Andreas Tsoumpariotis (48297890)</w:t>
    </w:r>
  </w:p>
  <w:p w14:paraId="41582A44" w14:textId="77777777" w:rsidR="008E7ED8" w:rsidRDefault="008E7ED8" w:rsidP="008E7ED8">
    <w:pPr>
      <w:pStyle w:val="Header"/>
    </w:pPr>
    <w:r>
      <w:t>STAT 6363: Time Series Analysis</w:t>
    </w:r>
  </w:p>
  <w:p w14:paraId="4145FF11" w14:textId="192EA28F" w:rsidR="008E7ED8" w:rsidRPr="008E7ED8" w:rsidRDefault="008E7ED8">
    <w:pPr>
      <w:pStyle w:val="Header"/>
      <w:rPr>
        <w:rFonts w:cstheme="minorHAnsi"/>
      </w:rPr>
    </w:pPr>
    <w:r>
      <w:rPr>
        <w:rFonts w:cstheme="minorHAnsi"/>
      </w:rPr>
      <w:t>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A4C4F"/>
    <w:multiLevelType w:val="hybridMultilevel"/>
    <w:tmpl w:val="3E44498E"/>
    <w:lvl w:ilvl="0" w:tplc="5EA0AE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30E65"/>
    <w:multiLevelType w:val="hybridMultilevel"/>
    <w:tmpl w:val="3E44498E"/>
    <w:lvl w:ilvl="0" w:tplc="5EA0AE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E5"/>
    <w:rsid w:val="00001C1E"/>
    <w:rsid w:val="00001F2E"/>
    <w:rsid w:val="00002500"/>
    <w:rsid w:val="00002B69"/>
    <w:rsid w:val="000035F6"/>
    <w:rsid w:val="00004D8A"/>
    <w:rsid w:val="00005601"/>
    <w:rsid w:val="000115E3"/>
    <w:rsid w:val="0001196D"/>
    <w:rsid w:val="00013A7B"/>
    <w:rsid w:val="0001486D"/>
    <w:rsid w:val="00015E21"/>
    <w:rsid w:val="00016E49"/>
    <w:rsid w:val="00017B20"/>
    <w:rsid w:val="000205A1"/>
    <w:rsid w:val="00021213"/>
    <w:rsid w:val="000258B6"/>
    <w:rsid w:val="00026E12"/>
    <w:rsid w:val="00027353"/>
    <w:rsid w:val="000323D9"/>
    <w:rsid w:val="00032787"/>
    <w:rsid w:val="00032CB9"/>
    <w:rsid w:val="00034326"/>
    <w:rsid w:val="0004033C"/>
    <w:rsid w:val="0004053E"/>
    <w:rsid w:val="00040559"/>
    <w:rsid w:val="0004095C"/>
    <w:rsid w:val="00040DFC"/>
    <w:rsid w:val="000415DD"/>
    <w:rsid w:val="00042E53"/>
    <w:rsid w:val="00044F63"/>
    <w:rsid w:val="00044FCC"/>
    <w:rsid w:val="000470DB"/>
    <w:rsid w:val="00047C06"/>
    <w:rsid w:val="000508F5"/>
    <w:rsid w:val="00052D6A"/>
    <w:rsid w:val="00052F75"/>
    <w:rsid w:val="00054933"/>
    <w:rsid w:val="00055366"/>
    <w:rsid w:val="00055E18"/>
    <w:rsid w:val="000560EC"/>
    <w:rsid w:val="0006060A"/>
    <w:rsid w:val="000609D4"/>
    <w:rsid w:val="00060B3C"/>
    <w:rsid w:val="00061972"/>
    <w:rsid w:val="00064318"/>
    <w:rsid w:val="0006497C"/>
    <w:rsid w:val="00066AFC"/>
    <w:rsid w:val="00067CA7"/>
    <w:rsid w:val="000700D1"/>
    <w:rsid w:val="00071ACB"/>
    <w:rsid w:val="00072F5C"/>
    <w:rsid w:val="00073029"/>
    <w:rsid w:val="0007375F"/>
    <w:rsid w:val="0007719D"/>
    <w:rsid w:val="00080825"/>
    <w:rsid w:val="00083F88"/>
    <w:rsid w:val="00083FD3"/>
    <w:rsid w:val="000841AE"/>
    <w:rsid w:val="0008491F"/>
    <w:rsid w:val="000854E0"/>
    <w:rsid w:val="0008634E"/>
    <w:rsid w:val="000870F9"/>
    <w:rsid w:val="000876F8"/>
    <w:rsid w:val="0009391C"/>
    <w:rsid w:val="00093EE9"/>
    <w:rsid w:val="000946D9"/>
    <w:rsid w:val="00094B5B"/>
    <w:rsid w:val="00094D59"/>
    <w:rsid w:val="00096844"/>
    <w:rsid w:val="00097B8D"/>
    <w:rsid w:val="000A20CE"/>
    <w:rsid w:val="000A53CA"/>
    <w:rsid w:val="000A5ADF"/>
    <w:rsid w:val="000A5BBB"/>
    <w:rsid w:val="000A63FC"/>
    <w:rsid w:val="000B0380"/>
    <w:rsid w:val="000B27F8"/>
    <w:rsid w:val="000B3849"/>
    <w:rsid w:val="000B5E58"/>
    <w:rsid w:val="000B7A9F"/>
    <w:rsid w:val="000C0565"/>
    <w:rsid w:val="000C082B"/>
    <w:rsid w:val="000C11CC"/>
    <w:rsid w:val="000C177F"/>
    <w:rsid w:val="000C18B1"/>
    <w:rsid w:val="000C2D47"/>
    <w:rsid w:val="000C4A03"/>
    <w:rsid w:val="000C4F1C"/>
    <w:rsid w:val="000C6134"/>
    <w:rsid w:val="000C6468"/>
    <w:rsid w:val="000C6B1D"/>
    <w:rsid w:val="000D053E"/>
    <w:rsid w:val="000D2906"/>
    <w:rsid w:val="000D353E"/>
    <w:rsid w:val="000D3BA4"/>
    <w:rsid w:val="000D3BB7"/>
    <w:rsid w:val="000D74AD"/>
    <w:rsid w:val="000E07E3"/>
    <w:rsid w:val="000E22F6"/>
    <w:rsid w:val="000E2D7E"/>
    <w:rsid w:val="000E4D02"/>
    <w:rsid w:val="000E551A"/>
    <w:rsid w:val="000E57C0"/>
    <w:rsid w:val="000E69AA"/>
    <w:rsid w:val="000F07B5"/>
    <w:rsid w:val="000F26E3"/>
    <w:rsid w:val="000F43A0"/>
    <w:rsid w:val="000F4B04"/>
    <w:rsid w:val="000F5B7C"/>
    <w:rsid w:val="000F65F1"/>
    <w:rsid w:val="000F73BB"/>
    <w:rsid w:val="000F76AC"/>
    <w:rsid w:val="00100343"/>
    <w:rsid w:val="00100F5E"/>
    <w:rsid w:val="00101BE9"/>
    <w:rsid w:val="00102688"/>
    <w:rsid w:val="00103243"/>
    <w:rsid w:val="00103B05"/>
    <w:rsid w:val="00103D4A"/>
    <w:rsid w:val="00106C70"/>
    <w:rsid w:val="00110A39"/>
    <w:rsid w:val="00112697"/>
    <w:rsid w:val="0011333A"/>
    <w:rsid w:val="00114D4B"/>
    <w:rsid w:val="00114E64"/>
    <w:rsid w:val="00115E69"/>
    <w:rsid w:val="00115EF2"/>
    <w:rsid w:val="00116549"/>
    <w:rsid w:val="001170E0"/>
    <w:rsid w:val="00117CE0"/>
    <w:rsid w:val="00120C17"/>
    <w:rsid w:val="0012233E"/>
    <w:rsid w:val="00122D90"/>
    <w:rsid w:val="00123673"/>
    <w:rsid w:val="0012437A"/>
    <w:rsid w:val="001245AA"/>
    <w:rsid w:val="001248EC"/>
    <w:rsid w:val="0012531D"/>
    <w:rsid w:val="001254E2"/>
    <w:rsid w:val="00125B3E"/>
    <w:rsid w:val="00125D61"/>
    <w:rsid w:val="001268E6"/>
    <w:rsid w:val="001268FB"/>
    <w:rsid w:val="00126B4B"/>
    <w:rsid w:val="00130A76"/>
    <w:rsid w:val="00132205"/>
    <w:rsid w:val="0013477E"/>
    <w:rsid w:val="001349DB"/>
    <w:rsid w:val="001401C8"/>
    <w:rsid w:val="0014042B"/>
    <w:rsid w:val="00140949"/>
    <w:rsid w:val="0014236E"/>
    <w:rsid w:val="00142B25"/>
    <w:rsid w:val="00143D31"/>
    <w:rsid w:val="00146F21"/>
    <w:rsid w:val="00150B58"/>
    <w:rsid w:val="0015158E"/>
    <w:rsid w:val="00156ED7"/>
    <w:rsid w:val="001570B1"/>
    <w:rsid w:val="00157412"/>
    <w:rsid w:val="00157E99"/>
    <w:rsid w:val="001617DD"/>
    <w:rsid w:val="00162D4D"/>
    <w:rsid w:val="00166218"/>
    <w:rsid w:val="001701C8"/>
    <w:rsid w:val="00172995"/>
    <w:rsid w:val="00173DA3"/>
    <w:rsid w:val="00173E83"/>
    <w:rsid w:val="0018070E"/>
    <w:rsid w:val="00181238"/>
    <w:rsid w:val="001826D0"/>
    <w:rsid w:val="001833B3"/>
    <w:rsid w:val="0018439C"/>
    <w:rsid w:val="001860D4"/>
    <w:rsid w:val="00190F6C"/>
    <w:rsid w:val="00195A6D"/>
    <w:rsid w:val="00197F2A"/>
    <w:rsid w:val="001A0B09"/>
    <w:rsid w:val="001A25B0"/>
    <w:rsid w:val="001A2B5D"/>
    <w:rsid w:val="001A333E"/>
    <w:rsid w:val="001A7617"/>
    <w:rsid w:val="001B0F7C"/>
    <w:rsid w:val="001B20CC"/>
    <w:rsid w:val="001B4359"/>
    <w:rsid w:val="001B4EDA"/>
    <w:rsid w:val="001B6A87"/>
    <w:rsid w:val="001B6FB1"/>
    <w:rsid w:val="001C0A09"/>
    <w:rsid w:val="001C0FC5"/>
    <w:rsid w:val="001C2134"/>
    <w:rsid w:val="001C26B6"/>
    <w:rsid w:val="001C3D30"/>
    <w:rsid w:val="001C4475"/>
    <w:rsid w:val="001C46E6"/>
    <w:rsid w:val="001D0702"/>
    <w:rsid w:val="001D078F"/>
    <w:rsid w:val="001D0E39"/>
    <w:rsid w:val="001D0F3D"/>
    <w:rsid w:val="001D1981"/>
    <w:rsid w:val="001D3B2A"/>
    <w:rsid w:val="001D5009"/>
    <w:rsid w:val="001D6750"/>
    <w:rsid w:val="001D73B7"/>
    <w:rsid w:val="001E2438"/>
    <w:rsid w:val="001E2937"/>
    <w:rsid w:val="001E3941"/>
    <w:rsid w:val="001E4688"/>
    <w:rsid w:val="001E5A72"/>
    <w:rsid w:val="001E6086"/>
    <w:rsid w:val="001E7B64"/>
    <w:rsid w:val="001F05F9"/>
    <w:rsid w:val="001F1C76"/>
    <w:rsid w:val="001F1D76"/>
    <w:rsid w:val="001F78DB"/>
    <w:rsid w:val="002017B8"/>
    <w:rsid w:val="002017EE"/>
    <w:rsid w:val="00203E75"/>
    <w:rsid w:val="002043CA"/>
    <w:rsid w:val="0020724E"/>
    <w:rsid w:val="0020732B"/>
    <w:rsid w:val="00207544"/>
    <w:rsid w:val="00210951"/>
    <w:rsid w:val="00211A09"/>
    <w:rsid w:val="002126FB"/>
    <w:rsid w:val="002129D4"/>
    <w:rsid w:val="00215B6E"/>
    <w:rsid w:val="00217DCE"/>
    <w:rsid w:val="0022097D"/>
    <w:rsid w:val="002213B4"/>
    <w:rsid w:val="00221D39"/>
    <w:rsid w:val="00221E75"/>
    <w:rsid w:val="002233A2"/>
    <w:rsid w:val="00224BEF"/>
    <w:rsid w:val="00226E04"/>
    <w:rsid w:val="002274D0"/>
    <w:rsid w:val="00230813"/>
    <w:rsid w:val="00231A41"/>
    <w:rsid w:val="00232404"/>
    <w:rsid w:val="00232FC6"/>
    <w:rsid w:val="00233EF5"/>
    <w:rsid w:val="00234B49"/>
    <w:rsid w:val="002413CC"/>
    <w:rsid w:val="00243812"/>
    <w:rsid w:val="00243C6C"/>
    <w:rsid w:val="00246430"/>
    <w:rsid w:val="00246684"/>
    <w:rsid w:val="0024747C"/>
    <w:rsid w:val="002507A7"/>
    <w:rsid w:val="002519DE"/>
    <w:rsid w:val="00252197"/>
    <w:rsid w:val="00255BE3"/>
    <w:rsid w:val="00255DBD"/>
    <w:rsid w:val="00256592"/>
    <w:rsid w:val="002573F7"/>
    <w:rsid w:val="00257677"/>
    <w:rsid w:val="00257870"/>
    <w:rsid w:val="00257DB7"/>
    <w:rsid w:val="00260D18"/>
    <w:rsid w:val="00261264"/>
    <w:rsid w:val="00261AB2"/>
    <w:rsid w:val="00262A5C"/>
    <w:rsid w:val="00265730"/>
    <w:rsid w:val="00266A07"/>
    <w:rsid w:val="00266D9E"/>
    <w:rsid w:val="00266E4C"/>
    <w:rsid w:val="002706CE"/>
    <w:rsid w:val="00272616"/>
    <w:rsid w:val="00272D60"/>
    <w:rsid w:val="00280EBC"/>
    <w:rsid w:val="00281CA5"/>
    <w:rsid w:val="00282933"/>
    <w:rsid w:val="00285375"/>
    <w:rsid w:val="002860D4"/>
    <w:rsid w:val="002901AD"/>
    <w:rsid w:val="00295047"/>
    <w:rsid w:val="002950C8"/>
    <w:rsid w:val="00296626"/>
    <w:rsid w:val="002A01B6"/>
    <w:rsid w:val="002A12A0"/>
    <w:rsid w:val="002A1DC5"/>
    <w:rsid w:val="002A4EAF"/>
    <w:rsid w:val="002A566E"/>
    <w:rsid w:val="002A6F91"/>
    <w:rsid w:val="002A77D3"/>
    <w:rsid w:val="002B260F"/>
    <w:rsid w:val="002B2D54"/>
    <w:rsid w:val="002B6B76"/>
    <w:rsid w:val="002C0AE5"/>
    <w:rsid w:val="002C0EE2"/>
    <w:rsid w:val="002C151D"/>
    <w:rsid w:val="002C2012"/>
    <w:rsid w:val="002C20CC"/>
    <w:rsid w:val="002C64E6"/>
    <w:rsid w:val="002C6580"/>
    <w:rsid w:val="002C65ED"/>
    <w:rsid w:val="002D4DE4"/>
    <w:rsid w:val="002D5558"/>
    <w:rsid w:val="002D5677"/>
    <w:rsid w:val="002D6D87"/>
    <w:rsid w:val="002E0235"/>
    <w:rsid w:val="002E145A"/>
    <w:rsid w:val="002E3B3E"/>
    <w:rsid w:val="002E422B"/>
    <w:rsid w:val="002E5E27"/>
    <w:rsid w:val="002E62EE"/>
    <w:rsid w:val="002E6924"/>
    <w:rsid w:val="002F0686"/>
    <w:rsid w:val="002F10BD"/>
    <w:rsid w:val="002F1344"/>
    <w:rsid w:val="002F18B3"/>
    <w:rsid w:val="002F1B86"/>
    <w:rsid w:val="002F24D0"/>
    <w:rsid w:val="002F2580"/>
    <w:rsid w:val="002F2685"/>
    <w:rsid w:val="002F30F1"/>
    <w:rsid w:val="002F41BA"/>
    <w:rsid w:val="002F5758"/>
    <w:rsid w:val="002F5FCF"/>
    <w:rsid w:val="002F6246"/>
    <w:rsid w:val="002F6EDF"/>
    <w:rsid w:val="002F7878"/>
    <w:rsid w:val="00305AA3"/>
    <w:rsid w:val="003066A1"/>
    <w:rsid w:val="003071E7"/>
    <w:rsid w:val="00307AF2"/>
    <w:rsid w:val="00313304"/>
    <w:rsid w:val="00313750"/>
    <w:rsid w:val="003143F7"/>
    <w:rsid w:val="00315C98"/>
    <w:rsid w:val="00316A4D"/>
    <w:rsid w:val="003223B5"/>
    <w:rsid w:val="00323499"/>
    <w:rsid w:val="00323B34"/>
    <w:rsid w:val="003259A8"/>
    <w:rsid w:val="003311D0"/>
    <w:rsid w:val="003315CB"/>
    <w:rsid w:val="00332FA4"/>
    <w:rsid w:val="003338D2"/>
    <w:rsid w:val="00335ECD"/>
    <w:rsid w:val="00340286"/>
    <w:rsid w:val="00340477"/>
    <w:rsid w:val="0034119C"/>
    <w:rsid w:val="00341AD0"/>
    <w:rsid w:val="00342A8D"/>
    <w:rsid w:val="00342E4C"/>
    <w:rsid w:val="00344E0E"/>
    <w:rsid w:val="00346233"/>
    <w:rsid w:val="00347795"/>
    <w:rsid w:val="00347B9C"/>
    <w:rsid w:val="00351C83"/>
    <w:rsid w:val="00351EFD"/>
    <w:rsid w:val="0035612F"/>
    <w:rsid w:val="00356B1E"/>
    <w:rsid w:val="00360B29"/>
    <w:rsid w:val="00362B6D"/>
    <w:rsid w:val="003631B2"/>
    <w:rsid w:val="0036595B"/>
    <w:rsid w:val="00370E5F"/>
    <w:rsid w:val="00372240"/>
    <w:rsid w:val="00372A08"/>
    <w:rsid w:val="00374D51"/>
    <w:rsid w:val="003754BB"/>
    <w:rsid w:val="0038019F"/>
    <w:rsid w:val="00380595"/>
    <w:rsid w:val="00383E00"/>
    <w:rsid w:val="0038597E"/>
    <w:rsid w:val="00386623"/>
    <w:rsid w:val="00386821"/>
    <w:rsid w:val="00386EC8"/>
    <w:rsid w:val="00387218"/>
    <w:rsid w:val="00390875"/>
    <w:rsid w:val="00390906"/>
    <w:rsid w:val="003910A9"/>
    <w:rsid w:val="0039227B"/>
    <w:rsid w:val="003927E8"/>
    <w:rsid w:val="003938A0"/>
    <w:rsid w:val="00395EFD"/>
    <w:rsid w:val="003A16F0"/>
    <w:rsid w:val="003A27B4"/>
    <w:rsid w:val="003A536A"/>
    <w:rsid w:val="003A6727"/>
    <w:rsid w:val="003A6E8D"/>
    <w:rsid w:val="003A7843"/>
    <w:rsid w:val="003B1583"/>
    <w:rsid w:val="003B2F36"/>
    <w:rsid w:val="003B420C"/>
    <w:rsid w:val="003B4D29"/>
    <w:rsid w:val="003C1E29"/>
    <w:rsid w:val="003C27E9"/>
    <w:rsid w:val="003C6D40"/>
    <w:rsid w:val="003C6F8B"/>
    <w:rsid w:val="003C7AA4"/>
    <w:rsid w:val="003C7FAE"/>
    <w:rsid w:val="003D1E1C"/>
    <w:rsid w:val="003D2517"/>
    <w:rsid w:val="003D2B59"/>
    <w:rsid w:val="003D389B"/>
    <w:rsid w:val="003D5D63"/>
    <w:rsid w:val="003D7244"/>
    <w:rsid w:val="003D7CC1"/>
    <w:rsid w:val="003E25D1"/>
    <w:rsid w:val="003E2CE8"/>
    <w:rsid w:val="003E3A34"/>
    <w:rsid w:val="003E3C61"/>
    <w:rsid w:val="003E449F"/>
    <w:rsid w:val="003E46E2"/>
    <w:rsid w:val="003E4B8E"/>
    <w:rsid w:val="003E6C20"/>
    <w:rsid w:val="003F21B7"/>
    <w:rsid w:val="003F2C91"/>
    <w:rsid w:val="003F3B30"/>
    <w:rsid w:val="003F7300"/>
    <w:rsid w:val="003F7440"/>
    <w:rsid w:val="00402EAA"/>
    <w:rsid w:val="00403A37"/>
    <w:rsid w:val="00405955"/>
    <w:rsid w:val="00406125"/>
    <w:rsid w:val="0041025E"/>
    <w:rsid w:val="00410AEF"/>
    <w:rsid w:val="00412D11"/>
    <w:rsid w:val="00412D92"/>
    <w:rsid w:val="004132F7"/>
    <w:rsid w:val="00414745"/>
    <w:rsid w:val="0042151A"/>
    <w:rsid w:val="004222E1"/>
    <w:rsid w:val="00425072"/>
    <w:rsid w:val="00426324"/>
    <w:rsid w:val="0043009B"/>
    <w:rsid w:val="00430164"/>
    <w:rsid w:val="004301E0"/>
    <w:rsid w:val="004303E0"/>
    <w:rsid w:val="0043151C"/>
    <w:rsid w:val="004337DD"/>
    <w:rsid w:val="004413DA"/>
    <w:rsid w:val="00441820"/>
    <w:rsid w:val="0044207E"/>
    <w:rsid w:val="00444145"/>
    <w:rsid w:val="00445DFB"/>
    <w:rsid w:val="0045168B"/>
    <w:rsid w:val="00452448"/>
    <w:rsid w:val="00452999"/>
    <w:rsid w:val="00454809"/>
    <w:rsid w:val="0045641A"/>
    <w:rsid w:val="00457853"/>
    <w:rsid w:val="0046164F"/>
    <w:rsid w:val="0046492A"/>
    <w:rsid w:val="0046572D"/>
    <w:rsid w:val="004675E1"/>
    <w:rsid w:val="00471CBD"/>
    <w:rsid w:val="00471DB3"/>
    <w:rsid w:val="00474292"/>
    <w:rsid w:val="004746AD"/>
    <w:rsid w:val="0047685E"/>
    <w:rsid w:val="004772C3"/>
    <w:rsid w:val="00477AE7"/>
    <w:rsid w:val="004857E9"/>
    <w:rsid w:val="00487F54"/>
    <w:rsid w:val="004932FC"/>
    <w:rsid w:val="0049459A"/>
    <w:rsid w:val="0049514C"/>
    <w:rsid w:val="0049615F"/>
    <w:rsid w:val="00497115"/>
    <w:rsid w:val="004A09DE"/>
    <w:rsid w:val="004A1494"/>
    <w:rsid w:val="004A19AF"/>
    <w:rsid w:val="004A3F28"/>
    <w:rsid w:val="004A6B85"/>
    <w:rsid w:val="004A70A0"/>
    <w:rsid w:val="004B2AD6"/>
    <w:rsid w:val="004B2D32"/>
    <w:rsid w:val="004B3CDE"/>
    <w:rsid w:val="004B3D14"/>
    <w:rsid w:val="004B4952"/>
    <w:rsid w:val="004B52E5"/>
    <w:rsid w:val="004B5CD1"/>
    <w:rsid w:val="004B6363"/>
    <w:rsid w:val="004B6D76"/>
    <w:rsid w:val="004C0814"/>
    <w:rsid w:val="004C3096"/>
    <w:rsid w:val="004C31F8"/>
    <w:rsid w:val="004C345C"/>
    <w:rsid w:val="004C5CBE"/>
    <w:rsid w:val="004C6B16"/>
    <w:rsid w:val="004C72F4"/>
    <w:rsid w:val="004C73A8"/>
    <w:rsid w:val="004D0801"/>
    <w:rsid w:val="004D0AD0"/>
    <w:rsid w:val="004D15D1"/>
    <w:rsid w:val="004D18C6"/>
    <w:rsid w:val="004D2DEC"/>
    <w:rsid w:val="004D31F8"/>
    <w:rsid w:val="004D3AFA"/>
    <w:rsid w:val="004D67D2"/>
    <w:rsid w:val="004D7F8B"/>
    <w:rsid w:val="004E0941"/>
    <w:rsid w:val="004E0CFA"/>
    <w:rsid w:val="004E1598"/>
    <w:rsid w:val="004E1738"/>
    <w:rsid w:val="004E21D7"/>
    <w:rsid w:val="004E2F2A"/>
    <w:rsid w:val="004E3C6F"/>
    <w:rsid w:val="004E3F28"/>
    <w:rsid w:val="004E519F"/>
    <w:rsid w:val="004E5634"/>
    <w:rsid w:val="004E6A3D"/>
    <w:rsid w:val="004F020C"/>
    <w:rsid w:val="004F0863"/>
    <w:rsid w:val="004F1138"/>
    <w:rsid w:val="004F30F5"/>
    <w:rsid w:val="004F32B0"/>
    <w:rsid w:val="004F6D95"/>
    <w:rsid w:val="0050004B"/>
    <w:rsid w:val="00500494"/>
    <w:rsid w:val="005010D5"/>
    <w:rsid w:val="0050118F"/>
    <w:rsid w:val="00501E4B"/>
    <w:rsid w:val="005028CA"/>
    <w:rsid w:val="0050549D"/>
    <w:rsid w:val="00511BDF"/>
    <w:rsid w:val="005135FF"/>
    <w:rsid w:val="005152FC"/>
    <w:rsid w:val="005178F9"/>
    <w:rsid w:val="0052102F"/>
    <w:rsid w:val="00521B1A"/>
    <w:rsid w:val="00521CA2"/>
    <w:rsid w:val="005229E8"/>
    <w:rsid w:val="005247EE"/>
    <w:rsid w:val="00524DC0"/>
    <w:rsid w:val="00526E0A"/>
    <w:rsid w:val="00527B45"/>
    <w:rsid w:val="00530AF4"/>
    <w:rsid w:val="005315EE"/>
    <w:rsid w:val="005317EB"/>
    <w:rsid w:val="005327FE"/>
    <w:rsid w:val="00533DCA"/>
    <w:rsid w:val="00535155"/>
    <w:rsid w:val="0053569F"/>
    <w:rsid w:val="00535B80"/>
    <w:rsid w:val="005368AD"/>
    <w:rsid w:val="0053696E"/>
    <w:rsid w:val="005412B1"/>
    <w:rsid w:val="00541B91"/>
    <w:rsid w:val="005440D0"/>
    <w:rsid w:val="00544FF4"/>
    <w:rsid w:val="005452FC"/>
    <w:rsid w:val="00546ACE"/>
    <w:rsid w:val="0054720B"/>
    <w:rsid w:val="00547ADB"/>
    <w:rsid w:val="00550A88"/>
    <w:rsid w:val="0055118C"/>
    <w:rsid w:val="005515F1"/>
    <w:rsid w:val="00554632"/>
    <w:rsid w:val="00555A0B"/>
    <w:rsid w:val="005567DB"/>
    <w:rsid w:val="005573DC"/>
    <w:rsid w:val="0056076D"/>
    <w:rsid w:val="00560D14"/>
    <w:rsid w:val="00564486"/>
    <w:rsid w:val="005655E1"/>
    <w:rsid w:val="00567312"/>
    <w:rsid w:val="0056750F"/>
    <w:rsid w:val="00570AA3"/>
    <w:rsid w:val="00570C60"/>
    <w:rsid w:val="00570E52"/>
    <w:rsid w:val="00573D15"/>
    <w:rsid w:val="0057448E"/>
    <w:rsid w:val="00574FB2"/>
    <w:rsid w:val="0057540F"/>
    <w:rsid w:val="00575C40"/>
    <w:rsid w:val="00576F97"/>
    <w:rsid w:val="00577249"/>
    <w:rsid w:val="00577591"/>
    <w:rsid w:val="005800B8"/>
    <w:rsid w:val="0058168D"/>
    <w:rsid w:val="00584BD0"/>
    <w:rsid w:val="005852D0"/>
    <w:rsid w:val="00586F79"/>
    <w:rsid w:val="00587D54"/>
    <w:rsid w:val="00594325"/>
    <w:rsid w:val="0059480C"/>
    <w:rsid w:val="00595DA6"/>
    <w:rsid w:val="005A081B"/>
    <w:rsid w:val="005A1868"/>
    <w:rsid w:val="005A2367"/>
    <w:rsid w:val="005A2A58"/>
    <w:rsid w:val="005A323D"/>
    <w:rsid w:val="005A45DB"/>
    <w:rsid w:val="005A47FA"/>
    <w:rsid w:val="005A4956"/>
    <w:rsid w:val="005A502C"/>
    <w:rsid w:val="005A5A4B"/>
    <w:rsid w:val="005A76D9"/>
    <w:rsid w:val="005A771C"/>
    <w:rsid w:val="005B00D9"/>
    <w:rsid w:val="005B02D1"/>
    <w:rsid w:val="005B1957"/>
    <w:rsid w:val="005B39EB"/>
    <w:rsid w:val="005C0B1C"/>
    <w:rsid w:val="005C12B8"/>
    <w:rsid w:val="005C2CAA"/>
    <w:rsid w:val="005C5914"/>
    <w:rsid w:val="005C5DD4"/>
    <w:rsid w:val="005C5FA6"/>
    <w:rsid w:val="005C611F"/>
    <w:rsid w:val="005C763D"/>
    <w:rsid w:val="005C7A01"/>
    <w:rsid w:val="005D3692"/>
    <w:rsid w:val="005D3CC9"/>
    <w:rsid w:val="005D457A"/>
    <w:rsid w:val="005D45C7"/>
    <w:rsid w:val="005D781F"/>
    <w:rsid w:val="005E247C"/>
    <w:rsid w:val="005E3086"/>
    <w:rsid w:val="005E31C4"/>
    <w:rsid w:val="005E37D5"/>
    <w:rsid w:val="005E3F78"/>
    <w:rsid w:val="005E62CC"/>
    <w:rsid w:val="005F0DE7"/>
    <w:rsid w:val="005F1246"/>
    <w:rsid w:val="005F323C"/>
    <w:rsid w:val="005F4214"/>
    <w:rsid w:val="005F5B40"/>
    <w:rsid w:val="005F7518"/>
    <w:rsid w:val="0060077B"/>
    <w:rsid w:val="0060140F"/>
    <w:rsid w:val="0060374F"/>
    <w:rsid w:val="00606601"/>
    <w:rsid w:val="00606726"/>
    <w:rsid w:val="00610566"/>
    <w:rsid w:val="00611A98"/>
    <w:rsid w:val="00616AA3"/>
    <w:rsid w:val="00617276"/>
    <w:rsid w:val="006178DE"/>
    <w:rsid w:val="00617BBA"/>
    <w:rsid w:val="00621E7B"/>
    <w:rsid w:val="00622EA5"/>
    <w:rsid w:val="00623315"/>
    <w:rsid w:val="00624FA9"/>
    <w:rsid w:val="00630398"/>
    <w:rsid w:val="0063086F"/>
    <w:rsid w:val="00630F64"/>
    <w:rsid w:val="00632400"/>
    <w:rsid w:val="00633359"/>
    <w:rsid w:val="00633F38"/>
    <w:rsid w:val="006345B7"/>
    <w:rsid w:val="00634DE9"/>
    <w:rsid w:val="0063657D"/>
    <w:rsid w:val="0063772D"/>
    <w:rsid w:val="00637B6D"/>
    <w:rsid w:val="0064135C"/>
    <w:rsid w:val="00641AC6"/>
    <w:rsid w:val="00643345"/>
    <w:rsid w:val="00643497"/>
    <w:rsid w:val="006462FC"/>
    <w:rsid w:val="00646931"/>
    <w:rsid w:val="006477E7"/>
    <w:rsid w:val="0065039E"/>
    <w:rsid w:val="006503F5"/>
    <w:rsid w:val="00651F99"/>
    <w:rsid w:val="006542B2"/>
    <w:rsid w:val="00654E55"/>
    <w:rsid w:val="00655B60"/>
    <w:rsid w:val="00657A86"/>
    <w:rsid w:val="00662325"/>
    <w:rsid w:val="00664106"/>
    <w:rsid w:val="00664365"/>
    <w:rsid w:val="00664552"/>
    <w:rsid w:val="00667472"/>
    <w:rsid w:val="00667863"/>
    <w:rsid w:val="0067053C"/>
    <w:rsid w:val="006709ED"/>
    <w:rsid w:val="006726D4"/>
    <w:rsid w:val="0067380F"/>
    <w:rsid w:val="00675E1D"/>
    <w:rsid w:val="0067619F"/>
    <w:rsid w:val="00677AC3"/>
    <w:rsid w:val="006804F7"/>
    <w:rsid w:val="00680F39"/>
    <w:rsid w:val="00681213"/>
    <w:rsid w:val="00682A89"/>
    <w:rsid w:val="00686DB9"/>
    <w:rsid w:val="006914AB"/>
    <w:rsid w:val="006935EE"/>
    <w:rsid w:val="00694434"/>
    <w:rsid w:val="0069510D"/>
    <w:rsid w:val="006959FE"/>
    <w:rsid w:val="0069602F"/>
    <w:rsid w:val="00696121"/>
    <w:rsid w:val="00696FC1"/>
    <w:rsid w:val="006A19D5"/>
    <w:rsid w:val="006A3267"/>
    <w:rsid w:val="006A3410"/>
    <w:rsid w:val="006B0AA4"/>
    <w:rsid w:val="006B0D95"/>
    <w:rsid w:val="006B119D"/>
    <w:rsid w:val="006B3D65"/>
    <w:rsid w:val="006B3DEF"/>
    <w:rsid w:val="006B552A"/>
    <w:rsid w:val="006B583D"/>
    <w:rsid w:val="006B67AB"/>
    <w:rsid w:val="006B6968"/>
    <w:rsid w:val="006C40C5"/>
    <w:rsid w:val="006D058B"/>
    <w:rsid w:val="006D1297"/>
    <w:rsid w:val="006D3F5D"/>
    <w:rsid w:val="006D4B72"/>
    <w:rsid w:val="006D5F28"/>
    <w:rsid w:val="006E21A7"/>
    <w:rsid w:val="006E3F91"/>
    <w:rsid w:val="006E4789"/>
    <w:rsid w:val="006E572F"/>
    <w:rsid w:val="006E5738"/>
    <w:rsid w:val="006E7805"/>
    <w:rsid w:val="006E7B05"/>
    <w:rsid w:val="006F0CE1"/>
    <w:rsid w:val="006F257E"/>
    <w:rsid w:val="006F7C51"/>
    <w:rsid w:val="006F7E31"/>
    <w:rsid w:val="00700A13"/>
    <w:rsid w:val="007018B1"/>
    <w:rsid w:val="00704A36"/>
    <w:rsid w:val="007059ED"/>
    <w:rsid w:val="00706A33"/>
    <w:rsid w:val="00707AED"/>
    <w:rsid w:val="00710381"/>
    <w:rsid w:val="00710F7E"/>
    <w:rsid w:val="00711692"/>
    <w:rsid w:val="007148E0"/>
    <w:rsid w:val="00714D35"/>
    <w:rsid w:val="00714DB6"/>
    <w:rsid w:val="007178C4"/>
    <w:rsid w:val="007208AD"/>
    <w:rsid w:val="007209C1"/>
    <w:rsid w:val="00721DDC"/>
    <w:rsid w:val="00723648"/>
    <w:rsid w:val="00723A5C"/>
    <w:rsid w:val="007242E5"/>
    <w:rsid w:val="007264B2"/>
    <w:rsid w:val="0072774E"/>
    <w:rsid w:val="00731BE5"/>
    <w:rsid w:val="007345E7"/>
    <w:rsid w:val="00735597"/>
    <w:rsid w:val="0073604D"/>
    <w:rsid w:val="00741031"/>
    <w:rsid w:val="00742398"/>
    <w:rsid w:val="007432D6"/>
    <w:rsid w:val="00743EBC"/>
    <w:rsid w:val="00743FDC"/>
    <w:rsid w:val="00744869"/>
    <w:rsid w:val="00750938"/>
    <w:rsid w:val="00750B08"/>
    <w:rsid w:val="00751AEB"/>
    <w:rsid w:val="007528F0"/>
    <w:rsid w:val="00753BF0"/>
    <w:rsid w:val="00755737"/>
    <w:rsid w:val="00757E7D"/>
    <w:rsid w:val="0076138E"/>
    <w:rsid w:val="00761904"/>
    <w:rsid w:val="00761BFD"/>
    <w:rsid w:val="00762497"/>
    <w:rsid w:val="00763964"/>
    <w:rsid w:val="00767BA4"/>
    <w:rsid w:val="00770547"/>
    <w:rsid w:val="0077101A"/>
    <w:rsid w:val="007719B9"/>
    <w:rsid w:val="00772CD5"/>
    <w:rsid w:val="0077436D"/>
    <w:rsid w:val="007744CD"/>
    <w:rsid w:val="00774EC0"/>
    <w:rsid w:val="0077717D"/>
    <w:rsid w:val="0078089E"/>
    <w:rsid w:val="00785FFD"/>
    <w:rsid w:val="00786D42"/>
    <w:rsid w:val="00791150"/>
    <w:rsid w:val="0079129E"/>
    <w:rsid w:val="00793339"/>
    <w:rsid w:val="00793527"/>
    <w:rsid w:val="0079385D"/>
    <w:rsid w:val="007A0174"/>
    <w:rsid w:val="007A3748"/>
    <w:rsid w:val="007A3C1B"/>
    <w:rsid w:val="007A42FA"/>
    <w:rsid w:val="007A4A33"/>
    <w:rsid w:val="007A505A"/>
    <w:rsid w:val="007A583C"/>
    <w:rsid w:val="007A5B17"/>
    <w:rsid w:val="007A6198"/>
    <w:rsid w:val="007A642D"/>
    <w:rsid w:val="007A6B9A"/>
    <w:rsid w:val="007A7761"/>
    <w:rsid w:val="007B21D7"/>
    <w:rsid w:val="007B40AC"/>
    <w:rsid w:val="007B4332"/>
    <w:rsid w:val="007B5170"/>
    <w:rsid w:val="007B617D"/>
    <w:rsid w:val="007C0458"/>
    <w:rsid w:val="007C2D74"/>
    <w:rsid w:val="007C5CB5"/>
    <w:rsid w:val="007C6102"/>
    <w:rsid w:val="007C66CE"/>
    <w:rsid w:val="007C782B"/>
    <w:rsid w:val="007C7FEB"/>
    <w:rsid w:val="007D0A53"/>
    <w:rsid w:val="007D1D81"/>
    <w:rsid w:val="007D213F"/>
    <w:rsid w:val="007D2AEA"/>
    <w:rsid w:val="007D3180"/>
    <w:rsid w:val="007D4EA2"/>
    <w:rsid w:val="007D6F11"/>
    <w:rsid w:val="007D798F"/>
    <w:rsid w:val="007D7FCA"/>
    <w:rsid w:val="007E01B0"/>
    <w:rsid w:val="007E0A81"/>
    <w:rsid w:val="007E2CB1"/>
    <w:rsid w:val="007E40CF"/>
    <w:rsid w:val="007E46C0"/>
    <w:rsid w:val="007E77A4"/>
    <w:rsid w:val="007F0188"/>
    <w:rsid w:val="007F1AA7"/>
    <w:rsid w:val="007F24EA"/>
    <w:rsid w:val="007F37CD"/>
    <w:rsid w:val="007F46DE"/>
    <w:rsid w:val="007F4778"/>
    <w:rsid w:val="007F4A9D"/>
    <w:rsid w:val="007F5320"/>
    <w:rsid w:val="007F5F19"/>
    <w:rsid w:val="007F753B"/>
    <w:rsid w:val="00800E89"/>
    <w:rsid w:val="00802361"/>
    <w:rsid w:val="008031BB"/>
    <w:rsid w:val="008034A3"/>
    <w:rsid w:val="00805C77"/>
    <w:rsid w:val="00811F27"/>
    <w:rsid w:val="008124D6"/>
    <w:rsid w:val="00812718"/>
    <w:rsid w:val="0081345E"/>
    <w:rsid w:val="00813848"/>
    <w:rsid w:val="00815780"/>
    <w:rsid w:val="00815E59"/>
    <w:rsid w:val="00815ED1"/>
    <w:rsid w:val="00816CE6"/>
    <w:rsid w:val="00822062"/>
    <w:rsid w:val="00826B3A"/>
    <w:rsid w:val="00827BF9"/>
    <w:rsid w:val="00830832"/>
    <w:rsid w:val="008326E0"/>
    <w:rsid w:val="008332AA"/>
    <w:rsid w:val="008337D3"/>
    <w:rsid w:val="00833FC6"/>
    <w:rsid w:val="00834BCB"/>
    <w:rsid w:val="00835445"/>
    <w:rsid w:val="00835B63"/>
    <w:rsid w:val="00837147"/>
    <w:rsid w:val="00837ED1"/>
    <w:rsid w:val="00840DC5"/>
    <w:rsid w:val="008437A7"/>
    <w:rsid w:val="0084456E"/>
    <w:rsid w:val="00844D75"/>
    <w:rsid w:val="00845A99"/>
    <w:rsid w:val="00845B0F"/>
    <w:rsid w:val="00845DCE"/>
    <w:rsid w:val="0084608F"/>
    <w:rsid w:val="008464FE"/>
    <w:rsid w:val="00847920"/>
    <w:rsid w:val="00847E24"/>
    <w:rsid w:val="00853566"/>
    <w:rsid w:val="0085438A"/>
    <w:rsid w:val="0085607B"/>
    <w:rsid w:val="00856D16"/>
    <w:rsid w:val="00857D1B"/>
    <w:rsid w:val="00862A45"/>
    <w:rsid w:val="00862E93"/>
    <w:rsid w:val="00866006"/>
    <w:rsid w:val="0086794F"/>
    <w:rsid w:val="00870875"/>
    <w:rsid w:val="00871BE0"/>
    <w:rsid w:val="00873B33"/>
    <w:rsid w:val="0087423B"/>
    <w:rsid w:val="0087722F"/>
    <w:rsid w:val="0087779F"/>
    <w:rsid w:val="00881052"/>
    <w:rsid w:val="00882730"/>
    <w:rsid w:val="008829FE"/>
    <w:rsid w:val="008840CA"/>
    <w:rsid w:val="008856B4"/>
    <w:rsid w:val="00885AEB"/>
    <w:rsid w:val="008860C7"/>
    <w:rsid w:val="00887ADB"/>
    <w:rsid w:val="00890C10"/>
    <w:rsid w:val="008913EE"/>
    <w:rsid w:val="00891C3F"/>
    <w:rsid w:val="00892E0E"/>
    <w:rsid w:val="00893CF8"/>
    <w:rsid w:val="0089568B"/>
    <w:rsid w:val="00895D21"/>
    <w:rsid w:val="00896CD7"/>
    <w:rsid w:val="008978FC"/>
    <w:rsid w:val="008A04D8"/>
    <w:rsid w:val="008A0BDB"/>
    <w:rsid w:val="008A3EA5"/>
    <w:rsid w:val="008A3EAA"/>
    <w:rsid w:val="008A4619"/>
    <w:rsid w:val="008A4658"/>
    <w:rsid w:val="008A5488"/>
    <w:rsid w:val="008A59FF"/>
    <w:rsid w:val="008A5B26"/>
    <w:rsid w:val="008A616E"/>
    <w:rsid w:val="008A729C"/>
    <w:rsid w:val="008B08B5"/>
    <w:rsid w:val="008B0F75"/>
    <w:rsid w:val="008B13B7"/>
    <w:rsid w:val="008B26A3"/>
    <w:rsid w:val="008B29B1"/>
    <w:rsid w:val="008B2AB4"/>
    <w:rsid w:val="008B368D"/>
    <w:rsid w:val="008B39C4"/>
    <w:rsid w:val="008B39CA"/>
    <w:rsid w:val="008B468C"/>
    <w:rsid w:val="008C0EE4"/>
    <w:rsid w:val="008C2783"/>
    <w:rsid w:val="008C2E43"/>
    <w:rsid w:val="008C45DC"/>
    <w:rsid w:val="008C4704"/>
    <w:rsid w:val="008C4929"/>
    <w:rsid w:val="008C4C43"/>
    <w:rsid w:val="008C796E"/>
    <w:rsid w:val="008D127A"/>
    <w:rsid w:val="008D15FF"/>
    <w:rsid w:val="008D37A2"/>
    <w:rsid w:val="008D391A"/>
    <w:rsid w:val="008D46CB"/>
    <w:rsid w:val="008D49D9"/>
    <w:rsid w:val="008D49E7"/>
    <w:rsid w:val="008D557B"/>
    <w:rsid w:val="008D5765"/>
    <w:rsid w:val="008D5EAC"/>
    <w:rsid w:val="008D75C1"/>
    <w:rsid w:val="008D7A0A"/>
    <w:rsid w:val="008E01C3"/>
    <w:rsid w:val="008E050E"/>
    <w:rsid w:val="008E363F"/>
    <w:rsid w:val="008E4C5D"/>
    <w:rsid w:val="008E638A"/>
    <w:rsid w:val="008E6531"/>
    <w:rsid w:val="008E6F22"/>
    <w:rsid w:val="008E7444"/>
    <w:rsid w:val="008E74B9"/>
    <w:rsid w:val="008E7ED8"/>
    <w:rsid w:val="008F23B7"/>
    <w:rsid w:val="008F49FA"/>
    <w:rsid w:val="008F5069"/>
    <w:rsid w:val="008F50AA"/>
    <w:rsid w:val="0090065C"/>
    <w:rsid w:val="00901DA8"/>
    <w:rsid w:val="0090208E"/>
    <w:rsid w:val="00903639"/>
    <w:rsid w:val="00904E3C"/>
    <w:rsid w:val="00905FDC"/>
    <w:rsid w:val="009060E2"/>
    <w:rsid w:val="00906127"/>
    <w:rsid w:val="00907D78"/>
    <w:rsid w:val="00910399"/>
    <w:rsid w:val="00910FA2"/>
    <w:rsid w:val="0091219D"/>
    <w:rsid w:val="00912C28"/>
    <w:rsid w:val="0091354A"/>
    <w:rsid w:val="0091473B"/>
    <w:rsid w:val="00914EDD"/>
    <w:rsid w:val="00915228"/>
    <w:rsid w:val="009155C7"/>
    <w:rsid w:val="00916C3E"/>
    <w:rsid w:val="00917FDB"/>
    <w:rsid w:val="009218F4"/>
    <w:rsid w:val="009221C0"/>
    <w:rsid w:val="00922FE9"/>
    <w:rsid w:val="00923047"/>
    <w:rsid w:val="0092589B"/>
    <w:rsid w:val="00925964"/>
    <w:rsid w:val="00925E68"/>
    <w:rsid w:val="00926621"/>
    <w:rsid w:val="00926ABD"/>
    <w:rsid w:val="009271C1"/>
    <w:rsid w:val="00927A54"/>
    <w:rsid w:val="0093051A"/>
    <w:rsid w:val="00932958"/>
    <w:rsid w:val="0093436C"/>
    <w:rsid w:val="00934852"/>
    <w:rsid w:val="00934CD7"/>
    <w:rsid w:val="00940520"/>
    <w:rsid w:val="00941485"/>
    <w:rsid w:val="0094232A"/>
    <w:rsid w:val="00942C40"/>
    <w:rsid w:val="00943C98"/>
    <w:rsid w:val="00945163"/>
    <w:rsid w:val="00945428"/>
    <w:rsid w:val="00945603"/>
    <w:rsid w:val="009459A6"/>
    <w:rsid w:val="0094632B"/>
    <w:rsid w:val="00946447"/>
    <w:rsid w:val="0094742F"/>
    <w:rsid w:val="00951AF9"/>
    <w:rsid w:val="00954FCA"/>
    <w:rsid w:val="0096000C"/>
    <w:rsid w:val="00960031"/>
    <w:rsid w:val="009600D3"/>
    <w:rsid w:val="00961D61"/>
    <w:rsid w:val="00963371"/>
    <w:rsid w:val="00963AB5"/>
    <w:rsid w:val="009703B1"/>
    <w:rsid w:val="00970949"/>
    <w:rsid w:val="00970CDE"/>
    <w:rsid w:val="0097118E"/>
    <w:rsid w:val="00971B68"/>
    <w:rsid w:val="0097302B"/>
    <w:rsid w:val="00973548"/>
    <w:rsid w:val="00973757"/>
    <w:rsid w:val="00974D2A"/>
    <w:rsid w:val="00974D68"/>
    <w:rsid w:val="00976186"/>
    <w:rsid w:val="00976CAF"/>
    <w:rsid w:val="00980707"/>
    <w:rsid w:val="00980ACA"/>
    <w:rsid w:val="0098181C"/>
    <w:rsid w:val="00982563"/>
    <w:rsid w:val="00983E44"/>
    <w:rsid w:val="00993530"/>
    <w:rsid w:val="00994B8D"/>
    <w:rsid w:val="00996206"/>
    <w:rsid w:val="00996D6D"/>
    <w:rsid w:val="00997939"/>
    <w:rsid w:val="009A3DD9"/>
    <w:rsid w:val="009A4818"/>
    <w:rsid w:val="009A5334"/>
    <w:rsid w:val="009A5C9F"/>
    <w:rsid w:val="009A6712"/>
    <w:rsid w:val="009A6B9A"/>
    <w:rsid w:val="009A7771"/>
    <w:rsid w:val="009A7CA6"/>
    <w:rsid w:val="009B039C"/>
    <w:rsid w:val="009B32B2"/>
    <w:rsid w:val="009B40B2"/>
    <w:rsid w:val="009B4877"/>
    <w:rsid w:val="009B72CA"/>
    <w:rsid w:val="009C0249"/>
    <w:rsid w:val="009C0E77"/>
    <w:rsid w:val="009C5F1B"/>
    <w:rsid w:val="009C66A7"/>
    <w:rsid w:val="009D0668"/>
    <w:rsid w:val="009D2EE7"/>
    <w:rsid w:val="009D3191"/>
    <w:rsid w:val="009D418C"/>
    <w:rsid w:val="009D42CF"/>
    <w:rsid w:val="009E2A8A"/>
    <w:rsid w:val="009E3A23"/>
    <w:rsid w:val="009E690C"/>
    <w:rsid w:val="009E7DAE"/>
    <w:rsid w:val="009F0832"/>
    <w:rsid w:val="009F08B8"/>
    <w:rsid w:val="009F095A"/>
    <w:rsid w:val="009F24CA"/>
    <w:rsid w:val="009F4058"/>
    <w:rsid w:val="009F5DB6"/>
    <w:rsid w:val="009F6805"/>
    <w:rsid w:val="009F70F9"/>
    <w:rsid w:val="00A02A83"/>
    <w:rsid w:val="00A0318F"/>
    <w:rsid w:val="00A03762"/>
    <w:rsid w:val="00A04760"/>
    <w:rsid w:val="00A057A9"/>
    <w:rsid w:val="00A10591"/>
    <w:rsid w:val="00A11558"/>
    <w:rsid w:val="00A11B41"/>
    <w:rsid w:val="00A15A90"/>
    <w:rsid w:val="00A1674B"/>
    <w:rsid w:val="00A17F75"/>
    <w:rsid w:val="00A24E0C"/>
    <w:rsid w:val="00A25101"/>
    <w:rsid w:val="00A269F4"/>
    <w:rsid w:val="00A27027"/>
    <w:rsid w:val="00A27204"/>
    <w:rsid w:val="00A27A70"/>
    <w:rsid w:val="00A31961"/>
    <w:rsid w:val="00A319A5"/>
    <w:rsid w:val="00A33FDD"/>
    <w:rsid w:val="00A34647"/>
    <w:rsid w:val="00A354AC"/>
    <w:rsid w:val="00A354CF"/>
    <w:rsid w:val="00A35E3F"/>
    <w:rsid w:val="00A4037D"/>
    <w:rsid w:val="00A41B16"/>
    <w:rsid w:val="00A41D92"/>
    <w:rsid w:val="00A422F2"/>
    <w:rsid w:val="00A42B11"/>
    <w:rsid w:val="00A43320"/>
    <w:rsid w:val="00A43A5E"/>
    <w:rsid w:val="00A4452B"/>
    <w:rsid w:val="00A4555D"/>
    <w:rsid w:val="00A45B5A"/>
    <w:rsid w:val="00A509E5"/>
    <w:rsid w:val="00A50A6B"/>
    <w:rsid w:val="00A51F8B"/>
    <w:rsid w:val="00A52ED4"/>
    <w:rsid w:val="00A5334C"/>
    <w:rsid w:val="00A55E16"/>
    <w:rsid w:val="00A56A6D"/>
    <w:rsid w:val="00A57529"/>
    <w:rsid w:val="00A57F4A"/>
    <w:rsid w:val="00A602A2"/>
    <w:rsid w:val="00A60CED"/>
    <w:rsid w:val="00A61121"/>
    <w:rsid w:val="00A61F5B"/>
    <w:rsid w:val="00A640B7"/>
    <w:rsid w:val="00A64C87"/>
    <w:rsid w:val="00A667FA"/>
    <w:rsid w:val="00A679B9"/>
    <w:rsid w:val="00A67D4D"/>
    <w:rsid w:val="00A71569"/>
    <w:rsid w:val="00A72C15"/>
    <w:rsid w:val="00A7388A"/>
    <w:rsid w:val="00A73B95"/>
    <w:rsid w:val="00A76451"/>
    <w:rsid w:val="00A77A81"/>
    <w:rsid w:val="00A80DD4"/>
    <w:rsid w:val="00A81BAB"/>
    <w:rsid w:val="00A84E7E"/>
    <w:rsid w:val="00A860BF"/>
    <w:rsid w:val="00A8644B"/>
    <w:rsid w:val="00A87992"/>
    <w:rsid w:val="00A87F5E"/>
    <w:rsid w:val="00A90886"/>
    <w:rsid w:val="00A90A81"/>
    <w:rsid w:val="00A90DA4"/>
    <w:rsid w:val="00A9111E"/>
    <w:rsid w:val="00A91AD6"/>
    <w:rsid w:val="00A920E3"/>
    <w:rsid w:val="00A94013"/>
    <w:rsid w:val="00A9431F"/>
    <w:rsid w:val="00A94BFB"/>
    <w:rsid w:val="00A97ABD"/>
    <w:rsid w:val="00AA1BD2"/>
    <w:rsid w:val="00AA2393"/>
    <w:rsid w:val="00AA360F"/>
    <w:rsid w:val="00AA3FB6"/>
    <w:rsid w:val="00AA4852"/>
    <w:rsid w:val="00AA5698"/>
    <w:rsid w:val="00AA5736"/>
    <w:rsid w:val="00AA5D96"/>
    <w:rsid w:val="00AA676A"/>
    <w:rsid w:val="00AA70CE"/>
    <w:rsid w:val="00AB412A"/>
    <w:rsid w:val="00AB4A66"/>
    <w:rsid w:val="00AC2CC9"/>
    <w:rsid w:val="00AC7D52"/>
    <w:rsid w:val="00AD176C"/>
    <w:rsid w:val="00AD2164"/>
    <w:rsid w:val="00AD3FC9"/>
    <w:rsid w:val="00AD606D"/>
    <w:rsid w:val="00AD6297"/>
    <w:rsid w:val="00AE03DF"/>
    <w:rsid w:val="00AE0E27"/>
    <w:rsid w:val="00AE1F6C"/>
    <w:rsid w:val="00AE22BE"/>
    <w:rsid w:val="00AE3981"/>
    <w:rsid w:val="00AE583E"/>
    <w:rsid w:val="00AE7DC6"/>
    <w:rsid w:val="00AF0006"/>
    <w:rsid w:val="00AF57B1"/>
    <w:rsid w:val="00AF6790"/>
    <w:rsid w:val="00AF74E7"/>
    <w:rsid w:val="00B00BC3"/>
    <w:rsid w:val="00B00DDE"/>
    <w:rsid w:val="00B00E70"/>
    <w:rsid w:val="00B01309"/>
    <w:rsid w:val="00B02FC7"/>
    <w:rsid w:val="00B040AF"/>
    <w:rsid w:val="00B04C29"/>
    <w:rsid w:val="00B058DB"/>
    <w:rsid w:val="00B05CAC"/>
    <w:rsid w:val="00B05D17"/>
    <w:rsid w:val="00B062CB"/>
    <w:rsid w:val="00B11247"/>
    <w:rsid w:val="00B11B4B"/>
    <w:rsid w:val="00B131C0"/>
    <w:rsid w:val="00B13805"/>
    <w:rsid w:val="00B141EA"/>
    <w:rsid w:val="00B164D0"/>
    <w:rsid w:val="00B169EE"/>
    <w:rsid w:val="00B218EA"/>
    <w:rsid w:val="00B22430"/>
    <w:rsid w:val="00B23200"/>
    <w:rsid w:val="00B257DF"/>
    <w:rsid w:val="00B25F6F"/>
    <w:rsid w:val="00B26558"/>
    <w:rsid w:val="00B27217"/>
    <w:rsid w:val="00B2749D"/>
    <w:rsid w:val="00B32B87"/>
    <w:rsid w:val="00B32BE6"/>
    <w:rsid w:val="00B36493"/>
    <w:rsid w:val="00B40AE7"/>
    <w:rsid w:val="00B40E3C"/>
    <w:rsid w:val="00B40FCF"/>
    <w:rsid w:val="00B41057"/>
    <w:rsid w:val="00B419B6"/>
    <w:rsid w:val="00B41AD4"/>
    <w:rsid w:val="00B45103"/>
    <w:rsid w:val="00B4637B"/>
    <w:rsid w:val="00B47489"/>
    <w:rsid w:val="00B47DB1"/>
    <w:rsid w:val="00B5192B"/>
    <w:rsid w:val="00B51CD3"/>
    <w:rsid w:val="00B52155"/>
    <w:rsid w:val="00B5330B"/>
    <w:rsid w:val="00B53C88"/>
    <w:rsid w:val="00B54041"/>
    <w:rsid w:val="00B541CC"/>
    <w:rsid w:val="00B55234"/>
    <w:rsid w:val="00B5688D"/>
    <w:rsid w:val="00B622E6"/>
    <w:rsid w:val="00B625AE"/>
    <w:rsid w:val="00B6325B"/>
    <w:rsid w:val="00B63EB8"/>
    <w:rsid w:val="00B64A83"/>
    <w:rsid w:val="00B6555D"/>
    <w:rsid w:val="00B6572A"/>
    <w:rsid w:val="00B66795"/>
    <w:rsid w:val="00B67773"/>
    <w:rsid w:val="00B702A6"/>
    <w:rsid w:val="00B708DE"/>
    <w:rsid w:val="00B70BAF"/>
    <w:rsid w:val="00B7432C"/>
    <w:rsid w:val="00B76B2C"/>
    <w:rsid w:val="00B76C9D"/>
    <w:rsid w:val="00B8158A"/>
    <w:rsid w:val="00B81A20"/>
    <w:rsid w:val="00B82DAF"/>
    <w:rsid w:val="00B84CCA"/>
    <w:rsid w:val="00B85B8B"/>
    <w:rsid w:val="00B86CA6"/>
    <w:rsid w:val="00B87BB1"/>
    <w:rsid w:val="00B9021B"/>
    <w:rsid w:val="00B90466"/>
    <w:rsid w:val="00B92440"/>
    <w:rsid w:val="00BA0DFB"/>
    <w:rsid w:val="00BA37C3"/>
    <w:rsid w:val="00BA5FE7"/>
    <w:rsid w:val="00BA7B76"/>
    <w:rsid w:val="00BB5A81"/>
    <w:rsid w:val="00BB7DE1"/>
    <w:rsid w:val="00BC00F1"/>
    <w:rsid w:val="00BC3237"/>
    <w:rsid w:val="00BC43A1"/>
    <w:rsid w:val="00BC721A"/>
    <w:rsid w:val="00BD17ED"/>
    <w:rsid w:val="00BD2047"/>
    <w:rsid w:val="00BD2890"/>
    <w:rsid w:val="00BD40C3"/>
    <w:rsid w:val="00BD528A"/>
    <w:rsid w:val="00BD5C04"/>
    <w:rsid w:val="00BD5C87"/>
    <w:rsid w:val="00BD66C6"/>
    <w:rsid w:val="00BD7AD0"/>
    <w:rsid w:val="00BE1D6B"/>
    <w:rsid w:val="00BE3B5C"/>
    <w:rsid w:val="00BE3D98"/>
    <w:rsid w:val="00BE5319"/>
    <w:rsid w:val="00BE5DE8"/>
    <w:rsid w:val="00BE61A4"/>
    <w:rsid w:val="00BE6475"/>
    <w:rsid w:val="00BE7CDA"/>
    <w:rsid w:val="00BE7D9A"/>
    <w:rsid w:val="00BF45C8"/>
    <w:rsid w:val="00BF69DF"/>
    <w:rsid w:val="00BF6B55"/>
    <w:rsid w:val="00C00B6C"/>
    <w:rsid w:val="00C01002"/>
    <w:rsid w:val="00C01C5C"/>
    <w:rsid w:val="00C02199"/>
    <w:rsid w:val="00C03649"/>
    <w:rsid w:val="00C03770"/>
    <w:rsid w:val="00C04467"/>
    <w:rsid w:val="00C05A3E"/>
    <w:rsid w:val="00C05E73"/>
    <w:rsid w:val="00C101EF"/>
    <w:rsid w:val="00C121D0"/>
    <w:rsid w:val="00C1283A"/>
    <w:rsid w:val="00C12A7A"/>
    <w:rsid w:val="00C12BF0"/>
    <w:rsid w:val="00C14CAC"/>
    <w:rsid w:val="00C16273"/>
    <w:rsid w:val="00C16D58"/>
    <w:rsid w:val="00C17523"/>
    <w:rsid w:val="00C22583"/>
    <w:rsid w:val="00C238FE"/>
    <w:rsid w:val="00C32479"/>
    <w:rsid w:val="00C34DB0"/>
    <w:rsid w:val="00C35A4A"/>
    <w:rsid w:val="00C374EA"/>
    <w:rsid w:val="00C37735"/>
    <w:rsid w:val="00C435A5"/>
    <w:rsid w:val="00C43C82"/>
    <w:rsid w:val="00C44C9C"/>
    <w:rsid w:val="00C45415"/>
    <w:rsid w:val="00C4744B"/>
    <w:rsid w:val="00C50B79"/>
    <w:rsid w:val="00C53081"/>
    <w:rsid w:val="00C53F0C"/>
    <w:rsid w:val="00C5410A"/>
    <w:rsid w:val="00C54382"/>
    <w:rsid w:val="00C54644"/>
    <w:rsid w:val="00C54CBC"/>
    <w:rsid w:val="00C61251"/>
    <w:rsid w:val="00C6197E"/>
    <w:rsid w:val="00C631AB"/>
    <w:rsid w:val="00C63505"/>
    <w:rsid w:val="00C63606"/>
    <w:rsid w:val="00C645E6"/>
    <w:rsid w:val="00C65240"/>
    <w:rsid w:val="00C65CE2"/>
    <w:rsid w:val="00C72288"/>
    <w:rsid w:val="00C760A6"/>
    <w:rsid w:val="00C77394"/>
    <w:rsid w:val="00C77840"/>
    <w:rsid w:val="00C80FAC"/>
    <w:rsid w:val="00C834D6"/>
    <w:rsid w:val="00C83A62"/>
    <w:rsid w:val="00C84877"/>
    <w:rsid w:val="00C8572B"/>
    <w:rsid w:val="00C85803"/>
    <w:rsid w:val="00C85E87"/>
    <w:rsid w:val="00C86750"/>
    <w:rsid w:val="00C93616"/>
    <w:rsid w:val="00C93BA8"/>
    <w:rsid w:val="00C94665"/>
    <w:rsid w:val="00C97D3D"/>
    <w:rsid w:val="00C97DB9"/>
    <w:rsid w:val="00CA00BB"/>
    <w:rsid w:val="00CA3212"/>
    <w:rsid w:val="00CA43A1"/>
    <w:rsid w:val="00CA5722"/>
    <w:rsid w:val="00CA5952"/>
    <w:rsid w:val="00CA62EB"/>
    <w:rsid w:val="00CA75AB"/>
    <w:rsid w:val="00CB1671"/>
    <w:rsid w:val="00CB2FC8"/>
    <w:rsid w:val="00CB39E2"/>
    <w:rsid w:val="00CB5EEC"/>
    <w:rsid w:val="00CB607B"/>
    <w:rsid w:val="00CB7DF5"/>
    <w:rsid w:val="00CC022A"/>
    <w:rsid w:val="00CC093F"/>
    <w:rsid w:val="00CC23C3"/>
    <w:rsid w:val="00CC3501"/>
    <w:rsid w:val="00CC4A8D"/>
    <w:rsid w:val="00CC4D33"/>
    <w:rsid w:val="00CC56B2"/>
    <w:rsid w:val="00CC5BD7"/>
    <w:rsid w:val="00CC700C"/>
    <w:rsid w:val="00CC788B"/>
    <w:rsid w:val="00CC7D0C"/>
    <w:rsid w:val="00CD1339"/>
    <w:rsid w:val="00CD3D9E"/>
    <w:rsid w:val="00CD44B3"/>
    <w:rsid w:val="00CD5817"/>
    <w:rsid w:val="00CD5D62"/>
    <w:rsid w:val="00CD6F33"/>
    <w:rsid w:val="00CD7735"/>
    <w:rsid w:val="00CE0139"/>
    <w:rsid w:val="00CE0A8B"/>
    <w:rsid w:val="00CE2029"/>
    <w:rsid w:val="00CE22AD"/>
    <w:rsid w:val="00CE312D"/>
    <w:rsid w:val="00CE34EC"/>
    <w:rsid w:val="00CE47B6"/>
    <w:rsid w:val="00CE5C03"/>
    <w:rsid w:val="00CE6096"/>
    <w:rsid w:val="00CF292C"/>
    <w:rsid w:val="00CF487A"/>
    <w:rsid w:val="00CF48FA"/>
    <w:rsid w:val="00CF7432"/>
    <w:rsid w:val="00CF77FF"/>
    <w:rsid w:val="00CF7ABD"/>
    <w:rsid w:val="00D038BA"/>
    <w:rsid w:val="00D067B8"/>
    <w:rsid w:val="00D06F28"/>
    <w:rsid w:val="00D079EF"/>
    <w:rsid w:val="00D124F4"/>
    <w:rsid w:val="00D12E97"/>
    <w:rsid w:val="00D130AE"/>
    <w:rsid w:val="00D13369"/>
    <w:rsid w:val="00D13F13"/>
    <w:rsid w:val="00D1506B"/>
    <w:rsid w:val="00D15813"/>
    <w:rsid w:val="00D16144"/>
    <w:rsid w:val="00D17C3B"/>
    <w:rsid w:val="00D20844"/>
    <w:rsid w:val="00D21E92"/>
    <w:rsid w:val="00D22C6A"/>
    <w:rsid w:val="00D23CAD"/>
    <w:rsid w:val="00D24BC4"/>
    <w:rsid w:val="00D3135E"/>
    <w:rsid w:val="00D31BF0"/>
    <w:rsid w:val="00D3212D"/>
    <w:rsid w:val="00D32BAB"/>
    <w:rsid w:val="00D33057"/>
    <w:rsid w:val="00D3323D"/>
    <w:rsid w:val="00D33D25"/>
    <w:rsid w:val="00D34AB9"/>
    <w:rsid w:val="00D428EE"/>
    <w:rsid w:val="00D42C09"/>
    <w:rsid w:val="00D44007"/>
    <w:rsid w:val="00D45ABD"/>
    <w:rsid w:val="00D46F94"/>
    <w:rsid w:val="00D51E6A"/>
    <w:rsid w:val="00D52406"/>
    <w:rsid w:val="00D52CD7"/>
    <w:rsid w:val="00D552B5"/>
    <w:rsid w:val="00D57584"/>
    <w:rsid w:val="00D57BC9"/>
    <w:rsid w:val="00D6057A"/>
    <w:rsid w:val="00D61F3B"/>
    <w:rsid w:val="00D624C4"/>
    <w:rsid w:val="00D62A17"/>
    <w:rsid w:val="00D64799"/>
    <w:rsid w:val="00D65469"/>
    <w:rsid w:val="00D65D76"/>
    <w:rsid w:val="00D66305"/>
    <w:rsid w:val="00D70C3E"/>
    <w:rsid w:val="00D75449"/>
    <w:rsid w:val="00D76246"/>
    <w:rsid w:val="00D7688D"/>
    <w:rsid w:val="00D77ED9"/>
    <w:rsid w:val="00D808C7"/>
    <w:rsid w:val="00D82999"/>
    <w:rsid w:val="00D85819"/>
    <w:rsid w:val="00D85D68"/>
    <w:rsid w:val="00D86DD1"/>
    <w:rsid w:val="00D86E80"/>
    <w:rsid w:val="00D87AD8"/>
    <w:rsid w:val="00D9050F"/>
    <w:rsid w:val="00D91B62"/>
    <w:rsid w:val="00D91E3A"/>
    <w:rsid w:val="00D940E6"/>
    <w:rsid w:val="00D94CCE"/>
    <w:rsid w:val="00D973BB"/>
    <w:rsid w:val="00D97897"/>
    <w:rsid w:val="00DA2198"/>
    <w:rsid w:val="00DB06C4"/>
    <w:rsid w:val="00DB179E"/>
    <w:rsid w:val="00DB23FF"/>
    <w:rsid w:val="00DB2724"/>
    <w:rsid w:val="00DB32C8"/>
    <w:rsid w:val="00DB460D"/>
    <w:rsid w:val="00DB4F56"/>
    <w:rsid w:val="00DB653E"/>
    <w:rsid w:val="00DC20B1"/>
    <w:rsid w:val="00DC315B"/>
    <w:rsid w:val="00DC5D06"/>
    <w:rsid w:val="00DD1DF9"/>
    <w:rsid w:val="00DD241E"/>
    <w:rsid w:val="00DD3A75"/>
    <w:rsid w:val="00DD3DAC"/>
    <w:rsid w:val="00DD517E"/>
    <w:rsid w:val="00DD56B4"/>
    <w:rsid w:val="00DD753F"/>
    <w:rsid w:val="00DE0174"/>
    <w:rsid w:val="00DE1A6A"/>
    <w:rsid w:val="00DE3325"/>
    <w:rsid w:val="00DE3BFD"/>
    <w:rsid w:val="00DE4256"/>
    <w:rsid w:val="00DE4311"/>
    <w:rsid w:val="00DE5303"/>
    <w:rsid w:val="00DE579C"/>
    <w:rsid w:val="00DF1F44"/>
    <w:rsid w:val="00DF5951"/>
    <w:rsid w:val="00DF742D"/>
    <w:rsid w:val="00E01C73"/>
    <w:rsid w:val="00E0303F"/>
    <w:rsid w:val="00E044D5"/>
    <w:rsid w:val="00E04C11"/>
    <w:rsid w:val="00E05E46"/>
    <w:rsid w:val="00E06A25"/>
    <w:rsid w:val="00E06D1E"/>
    <w:rsid w:val="00E104F5"/>
    <w:rsid w:val="00E12266"/>
    <w:rsid w:val="00E13E41"/>
    <w:rsid w:val="00E142E1"/>
    <w:rsid w:val="00E23FF2"/>
    <w:rsid w:val="00E24C77"/>
    <w:rsid w:val="00E30A8B"/>
    <w:rsid w:val="00E30C38"/>
    <w:rsid w:val="00E31534"/>
    <w:rsid w:val="00E32E5E"/>
    <w:rsid w:val="00E36D2A"/>
    <w:rsid w:val="00E373F0"/>
    <w:rsid w:val="00E37B3E"/>
    <w:rsid w:val="00E40080"/>
    <w:rsid w:val="00E40A66"/>
    <w:rsid w:val="00E40A93"/>
    <w:rsid w:val="00E41464"/>
    <w:rsid w:val="00E44964"/>
    <w:rsid w:val="00E46859"/>
    <w:rsid w:val="00E50D0C"/>
    <w:rsid w:val="00E50F1C"/>
    <w:rsid w:val="00E51B9A"/>
    <w:rsid w:val="00E5286D"/>
    <w:rsid w:val="00E54F58"/>
    <w:rsid w:val="00E5529C"/>
    <w:rsid w:val="00E60DCB"/>
    <w:rsid w:val="00E6339B"/>
    <w:rsid w:val="00E63EB2"/>
    <w:rsid w:val="00E64B86"/>
    <w:rsid w:val="00E6516D"/>
    <w:rsid w:val="00E6657F"/>
    <w:rsid w:val="00E66CD5"/>
    <w:rsid w:val="00E70C2D"/>
    <w:rsid w:val="00E71088"/>
    <w:rsid w:val="00E729CE"/>
    <w:rsid w:val="00E73399"/>
    <w:rsid w:val="00E7670A"/>
    <w:rsid w:val="00E802D1"/>
    <w:rsid w:val="00E8071F"/>
    <w:rsid w:val="00E822FD"/>
    <w:rsid w:val="00E8593E"/>
    <w:rsid w:val="00E86DB6"/>
    <w:rsid w:val="00E8731F"/>
    <w:rsid w:val="00E87E6A"/>
    <w:rsid w:val="00E959EF"/>
    <w:rsid w:val="00E96963"/>
    <w:rsid w:val="00E97C07"/>
    <w:rsid w:val="00EA0999"/>
    <w:rsid w:val="00EA0E26"/>
    <w:rsid w:val="00EA245D"/>
    <w:rsid w:val="00EA297F"/>
    <w:rsid w:val="00EA301D"/>
    <w:rsid w:val="00EA3054"/>
    <w:rsid w:val="00EA3B58"/>
    <w:rsid w:val="00EA58F9"/>
    <w:rsid w:val="00EB2536"/>
    <w:rsid w:val="00EB2A89"/>
    <w:rsid w:val="00EB3D8B"/>
    <w:rsid w:val="00EB4FD4"/>
    <w:rsid w:val="00EB7367"/>
    <w:rsid w:val="00EB78EF"/>
    <w:rsid w:val="00EB7C90"/>
    <w:rsid w:val="00EC0A98"/>
    <w:rsid w:val="00EC127B"/>
    <w:rsid w:val="00EC2A4E"/>
    <w:rsid w:val="00EC31F3"/>
    <w:rsid w:val="00EC3F9B"/>
    <w:rsid w:val="00EC3FE1"/>
    <w:rsid w:val="00EC4507"/>
    <w:rsid w:val="00EC4949"/>
    <w:rsid w:val="00EC49BD"/>
    <w:rsid w:val="00EC64FB"/>
    <w:rsid w:val="00EC6B34"/>
    <w:rsid w:val="00ED03E4"/>
    <w:rsid w:val="00ED10AA"/>
    <w:rsid w:val="00ED10BF"/>
    <w:rsid w:val="00ED456A"/>
    <w:rsid w:val="00ED6AAB"/>
    <w:rsid w:val="00ED6D08"/>
    <w:rsid w:val="00ED77A2"/>
    <w:rsid w:val="00EE25F0"/>
    <w:rsid w:val="00EE3904"/>
    <w:rsid w:val="00EE3E64"/>
    <w:rsid w:val="00EE73E0"/>
    <w:rsid w:val="00EF27C2"/>
    <w:rsid w:val="00EF4653"/>
    <w:rsid w:val="00EF4A37"/>
    <w:rsid w:val="00EF4AD3"/>
    <w:rsid w:val="00EF7F15"/>
    <w:rsid w:val="00F005F9"/>
    <w:rsid w:val="00F01F89"/>
    <w:rsid w:val="00F03273"/>
    <w:rsid w:val="00F036AB"/>
    <w:rsid w:val="00F0584F"/>
    <w:rsid w:val="00F071BB"/>
    <w:rsid w:val="00F10C03"/>
    <w:rsid w:val="00F11B81"/>
    <w:rsid w:val="00F12669"/>
    <w:rsid w:val="00F132B5"/>
    <w:rsid w:val="00F14BCA"/>
    <w:rsid w:val="00F15BD0"/>
    <w:rsid w:val="00F202C2"/>
    <w:rsid w:val="00F217AA"/>
    <w:rsid w:val="00F25A52"/>
    <w:rsid w:val="00F25B0D"/>
    <w:rsid w:val="00F26861"/>
    <w:rsid w:val="00F26947"/>
    <w:rsid w:val="00F27BFE"/>
    <w:rsid w:val="00F30103"/>
    <w:rsid w:val="00F351EF"/>
    <w:rsid w:val="00F3602F"/>
    <w:rsid w:val="00F3659C"/>
    <w:rsid w:val="00F36938"/>
    <w:rsid w:val="00F3709A"/>
    <w:rsid w:val="00F41118"/>
    <w:rsid w:val="00F418D9"/>
    <w:rsid w:val="00F41D83"/>
    <w:rsid w:val="00F43A9B"/>
    <w:rsid w:val="00F43D8B"/>
    <w:rsid w:val="00F43FD3"/>
    <w:rsid w:val="00F461DF"/>
    <w:rsid w:val="00F469ED"/>
    <w:rsid w:val="00F50E4A"/>
    <w:rsid w:val="00F527D7"/>
    <w:rsid w:val="00F56E94"/>
    <w:rsid w:val="00F62A10"/>
    <w:rsid w:val="00F63339"/>
    <w:rsid w:val="00F64AD7"/>
    <w:rsid w:val="00F64CC7"/>
    <w:rsid w:val="00F651FF"/>
    <w:rsid w:val="00F67ADB"/>
    <w:rsid w:val="00F72292"/>
    <w:rsid w:val="00F726C6"/>
    <w:rsid w:val="00F72F94"/>
    <w:rsid w:val="00F7302B"/>
    <w:rsid w:val="00F734A9"/>
    <w:rsid w:val="00F73F62"/>
    <w:rsid w:val="00F754AE"/>
    <w:rsid w:val="00F75658"/>
    <w:rsid w:val="00F77D4D"/>
    <w:rsid w:val="00F77E80"/>
    <w:rsid w:val="00F810A5"/>
    <w:rsid w:val="00F836B6"/>
    <w:rsid w:val="00F83F01"/>
    <w:rsid w:val="00F8414D"/>
    <w:rsid w:val="00F86628"/>
    <w:rsid w:val="00F905EC"/>
    <w:rsid w:val="00F90A97"/>
    <w:rsid w:val="00F92645"/>
    <w:rsid w:val="00F92984"/>
    <w:rsid w:val="00F92F3F"/>
    <w:rsid w:val="00F93EFE"/>
    <w:rsid w:val="00F94210"/>
    <w:rsid w:val="00F943CF"/>
    <w:rsid w:val="00F945F5"/>
    <w:rsid w:val="00F95E59"/>
    <w:rsid w:val="00F9768F"/>
    <w:rsid w:val="00FA0168"/>
    <w:rsid w:val="00FA2755"/>
    <w:rsid w:val="00FA2CFC"/>
    <w:rsid w:val="00FA2F79"/>
    <w:rsid w:val="00FA3BCD"/>
    <w:rsid w:val="00FA4466"/>
    <w:rsid w:val="00FA45E6"/>
    <w:rsid w:val="00FA64FF"/>
    <w:rsid w:val="00FB0448"/>
    <w:rsid w:val="00FB1272"/>
    <w:rsid w:val="00FB4670"/>
    <w:rsid w:val="00FB4ABE"/>
    <w:rsid w:val="00FB51FD"/>
    <w:rsid w:val="00FC36C2"/>
    <w:rsid w:val="00FC6CFE"/>
    <w:rsid w:val="00FC6D69"/>
    <w:rsid w:val="00FC7BFA"/>
    <w:rsid w:val="00FD2379"/>
    <w:rsid w:val="00FD32C2"/>
    <w:rsid w:val="00FD4C99"/>
    <w:rsid w:val="00FD5281"/>
    <w:rsid w:val="00FD566E"/>
    <w:rsid w:val="00FD56C7"/>
    <w:rsid w:val="00FD5912"/>
    <w:rsid w:val="00FD6FC3"/>
    <w:rsid w:val="00FD7E44"/>
    <w:rsid w:val="00FE02F4"/>
    <w:rsid w:val="00FE2988"/>
    <w:rsid w:val="00FE30B3"/>
    <w:rsid w:val="00FE7500"/>
    <w:rsid w:val="00FE78C6"/>
    <w:rsid w:val="00FE7917"/>
    <w:rsid w:val="00FF0268"/>
    <w:rsid w:val="00FF0D06"/>
    <w:rsid w:val="00FF0E85"/>
    <w:rsid w:val="00FF0FDC"/>
    <w:rsid w:val="00FF296C"/>
    <w:rsid w:val="00FF3676"/>
    <w:rsid w:val="00FF610B"/>
    <w:rsid w:val="00FF720A"/>
    <w:rsid w:val="00FF780A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0290"/>
  <w15:chartTrackingRefBased/>
  <w15:docId w15:val="{77E9E66A-14E8-2149-BFA4-37DD34BA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2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2E5"/>
  </w:style>
  <w:style w:type="paragraph" w:styleId="Footer">
    <w:name w:val="footer"/>
    <w:basedOn w:val="Normal"/>
    <w:link w:val="FooterChar"/>
    <w:uiPriority w:val="99"/>
    <w:unhideWhenUsed/>
    <w:rsid w:val="004B52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2E5"/>
  </w:style>
  <w:style w:type="character" w:customStyle="1" w:styleId="Heading1Char">
    <w:name w:val="Heading 1 Char"/>
    <w:basedOn w:val="DefaultParagraphFont"/>
    <w:link w:val="Heading1"/>
    <w:uiPriority w:val="9"/>
    <w:rsid w:val="00915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241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4744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74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744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01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F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F8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34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315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quote/BTC-USD/history?period1=1412121600&amp;period2=1619827200&amp;interval=1mo&amp;filter=history&amp;frequency=1mo&amp;includeAdjustedClose=tru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C30A4B-60DA-6F46-AFEF-B1A7AB1DD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12</Pages>
  <Words>2650</Words>
  <Characters>15110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ANDREAS.TSOUMPARIOTIS@baruchmail.cuny.edu</dc:creator>
  <cp:keywords/>
  <dc:description/>
  <cp:lastModifiedBy>ANDREAS.TSOUMPARIOTIS@baruchmail.cuny.edu</cp:lastModifiedBy>
  <cp:revision>2136</cp:revision>
  <cp:lastPrinted>2021-05-12T07:32:00Z</cp:lastPrinted>
  <dcterms:created xsi:type="dcterms:W3CDTF">2021-05-11T04:37:00Z</dcterms:created>
  <dcterms:modified xsi:type="dcterms:W3CDTF">2021-05-13T17:10:00Z</dcterms:modified>
</cp:coreProperties>
</file>