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w:t>
      </w:r>
      <w:r>
        <w:rPr>
          <w:rFonts w:cs="Calibri" w:ascii="Calibri" w:hAnsi="Calibri" w:cstheme="minorHAnsi"/>
        </w:rPr>
        <w:t>(hardware)</w:t>
      </w:r>
      <w:r>
        <w:rPr>
          <w:rFonts w:cs="Calibri" w:ascii="Calibri" w:hAnsi="Calibri" w:cstheme="minorHAnsi"/>
        </w:rPr>
        <w:t>,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45"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60"/>
        <w:gridCol w:w="7507"/>
      </w:tblGrid>
      <w:tr>
        <w:trPr>
          <w:cnfStyle w:val="100000000000" w:firstRow="1" w:lastRow="0" w:firstColumn="0" w:lastColumn="0" w:oddVBand="0" w:evenVBand="0" w:oddHBand="0"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7"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7"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7"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7"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7"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7"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7"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7"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7"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rFonts w:eastAsia="Calibri" w:cs="" w:cstheme="minorBidi" w:eastAsiaTheme="minorHAnsi"/>
          <w:color w:val="auto"/>
          <w:kern w:val="0"/>
          <w:sz w:val="24"/>
          <w:szCs w:val="24"/>
          <w:lang w:val="it-IT" w:eastAsia="en-US" w:bidi="ar-SA"/>
        </w:rPr>
      </w:pPr>
      <w:r>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08"/>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08"/>
          <w:tab w:val="left" w:pos="4318" w:leader="none"/>
        </w:tabs>
        <w:rPr/>
      </w:pPr>
      <w:r>
        <w:rPr/>
      </w:r>
    </w:p>
    <w:p>
      <w:pPr>
        <w:pStyle w:val="Normal"/>
        <w:tabs>
          <w:tab w:val="clear" w:pos="708"/>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08"/>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Heading2"/>
        <w:numPr>
          <w:ilvl w:val="1"/>
          <w:numId w:val="2"/>
        </w:numPr>
        <w:rPr/>
      </w:pPr>
      <w:r>
        <w:rPr/>
        <w:t>Macchine di stato</w:t>
      </w:r>
    </w:p>
    <w:p>
      <w:pPr>
        <w:pStyle w:val="Normal"/>
        <w:rPr/>
      </w:pPr>
      <w:r>
        <w:rPr/>
      </w:r>
    </w:p>
    <w:p>
      <w:pPr>
        <w:pStyle w:val="Normal"/>
        <w:rPr>
          <w:rFonts w:cs="Calibri" w:cstheme="minorHAnsi"/>
        </w:rPr>
      </w:pPr>
      <w:r>
        <w:rPr>
          <w:rFonts w:cs="Calibri" w:cstheme="minorHAnsi"/>
        </w:rPr>
        <w:t xml:space="preserve">La notazione utilizzata per esprimere le macchine si stato deve essere usata in modo corretto, ad esempio i </w:t>
      </w:r>
      <w:r>
        <w:rPr>
          <w:rFonts w:cs="Calibri" w:cstheme="minorHAnsi"/>
          <w:i/>
          <w:iCs/>
        </w:rPr>
        <w:t>call event</w:t>
      </w:r>
      <w:r>
        <w:rPr>
          <w:rFonts w:cs="Calibri" w:cstheme="minorHAnsi"/>
        </w:rPr>
        <w:t xml:space="preserve"> devono essere tracciabili con i messaggi dei casi d’uso e i metodi delle classi. Lo stesso si applica per tutte azioni che sono chiamate di metodi. </w:t>
      </w:r>
    </w:p>
    <w:p>
      <w:pPr>
        <w:pStyle w:val="Normal"/>
        <w:rPr/>
      </w:pPr>
      <w:r>
        <w:rPr/>
      </w:r>
    </w:p>
    <w:p>
      <w:pPr>
        <w:pStyle w:val="Heading2"/>
        <w:numPr>
          <w:ilvl w:val="1"/>
          <w:numId w:val="2"/>
        </w:numPr>
        <w:rPr/>
      </w:pPr>
      <w:r>
        <w:rPr/>
        <w:t>Diagramma dei componenti</w:t>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rPr/>
      </w:pPr>
      <w:r>
        <w:rPr/>
        <w:t>In questa sezione va riportato il diagramma delle classi di programma.</w:t>
      </w:r>
    </w:p>
    <w:p>
      <w:pPr>
        <w:pStyle w:val="Normal"/>
        <w:rPr>
          <w:color w:val="C9211E"/>
          <w:sz w:val="20"/>
          <w:szCs w:val="20"/>
        </w:rPr>
      </w:pPr>
      <w:r>
        <w:rPr>
          <w:color w:val="C9211E"/>
          <w:sz w:val="20"/>
          <w:szCs w:val="20"/>
        </w:rPr>
      </w:r>
    </w:p>
    <w:p>
      <w:pPr>
        <w:pStyle w:val="Normal"/>
        <w:rPr>
          <w:color w:val="C9211E"/>
          <w:sz w:val="20"/>
          <w:szCs w:val="20"/>
        </w:rPr>
      </w:pPr>
      <w:r>
        <w:rPr>
          <w:color w:val="C9211E"/>
          <w:sz w:val="20"/>
          <w:szCs w:val="20"/>
        </w:rPr>
      </w:r>
    </w:p>
    <w:p>
      <w:pPr>
        <w:pStyle w:val="Normal"/>
        <w:rPr>
          <w:color w:val="C9211E"/>
          <w:sz w:val="20"/>
          <w:szCs w:val="20"/>
        </w:rPr>
      </w:pPr>
      <w:r>
        <w:rPr>
          <w:rFonts w:cs="Calibri" w:cstheme="minorHAnsi"/>
          <w:color w:val="C9211E"/>
          <w:sz w:val="20"/>
          <w:szCs w:val="20"/>
        </w:rPr>
        <w:t>Si ricordi che comunque il diagramma riportato in questa sezione: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Deve essere tracciabile con tutte le alte viste.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Deve essere tracciabile con il codice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Verrà valutato guardando se i principi chiave della progettazione OO siano stati considerati (classi altamente coese, poco accoppiamento tra classi, uso di gerarchia tra classi, ecc.) e considerando le associazioni tra classi.</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ind w:left="720" w:hanging="0"/>
        <w:rPr/>
      </w:pPr>
      <w:r>
        <w:rPr/>
        <w:t xml:space="preserve">I metodi get e set non sono stati riportati perché considerati impliciti. (l’ha detto in lab di scriverlo). </w:t>
      </w:r>
    </w:p>
    <w:p>
      <w:pPr>
        <w:pStyle w:val="Normal"/>
        <w:rPr/>
      </w:pPr>
      <w:r>
        <w:rPr/>
      </w:r>
    </w:p>
    <w:p>
      <w:pPr>
        <w:pStyle w:val="Heading3"/>
        <w:numPr>
          <w:ilvl w:val="2"/>
          <w:numId w:val="2"/>
        </w:numPr>
        <w:rPr/>
      </w:pPr>
      <w:r>
        <w:rPr/>
        <w:t>Discussione dei Design Pattern utilizzati</w:t>
      </w:r>
    </w:p>
    <w:p>
      <w:pPr>
        <w:pStyle w:val="Normal"/>
        <w:rPr/>
      </w:pPr>
      <w:r>
        <w:rPr/>
        <w:t>I design pattern utilizzati non vanno semplicemente elencati, ma anche discussi: va giustificato il loro utilizzo ed eventualmente va specificato quali modifiche del diagramma delle classi abbia implicato il loro utilizzo.</w:t>
      </w:r>
    </w:p>
    <w:p>
      <w:pPr>
        <w:pStyle w:val="Normal"/>
        <w:rPr/>
      </w:pPr>
      <w:r>
        <w:rPr/>
        <w:t xml:space="preserve"> </w:t>
      </w:r>
    </w:p>
    <w:p>
      <w:pPr>
        <w:pStyle w:val="Heading2"/>
        <w:numPr>
          <w:ilvl w:val="1"/>
          <w:numId w:val="2"/>
        </w:numPr>
        <w:rPr/>
      </w:pPr>
      <w:r>
        <w:rPr/>
        <w:t>Gestione dei dati persistenti</w:t>
      </w:r>
    </w:p>
    <w:p>
      <w:pPr>
        <w:pStyle w:val="Normal"/>
        <w:rPr/>
      </w:pPr>
      <w:r>
        <w:rPr/>
        <w:t>In questa sezione va descritta la struttura del database utilizzato per gestire la persistenza dei dati e il DBMS utilizzato.</w:t>
      </w:r>
    </w:p>
    <w:p>
      <w:pPr>
        <w:pStyle w:val="Normal"/>
        <w:rPr/>
      </w:pPr>
      <w:r>
        <w:rPr/>
      </w:r>
    </w:p>
    <w:p>
      <w:pPr>
        <w:pStyle w:val="Heading2"/>
        <w:numPr>
          <w:ilvl w:val="1"/>
          <w:numId w:val="2"/>
        </w:numPr>
        <w:rPr/>
      </w:pPr>
      <w:r>
        <w:rPr/>
        <w:t>Descrizione dell’Interfaccia Grafica</w:t>
      </w:r>
    </w:p>
    <w:p>
      <w:pPr>
        <w:pStyle w:val="Normal"/>
        <w:rPr/>
      </w:pPr>
      <w:r>
        <w:rPr/>
        <w:t>Vanno riportate alcune schermate dell’interfaccia grafica implementata.</w:t>
      </w:r>
    </w:p>
    <w:p>
      <w:pPr>
        <w:pStyle w:val="Normal"/>
        <w:rPr/>
      </w:pPr>
      <w:r>
        <w:rPr/>
        <w:t>Nel caso si sia fatta una validazione dell’input, i controlli effettuati e le loro finalità vanno spiegati in questa sezione.</w:t>
      </w:r>
    </w:p>
    <w:p>
      <w:pPr>
        <w:pStyle w:val="Normal"/>
        <w:rPr/>
      </w:pPr>
      <w:r>
        <w:rPr/>
      </w:r>
    </w:p>
    <w:p>
      <w:pPr>
        <w:pStyle w:val="Heading2"/>
        <w:numPr>
          <w:ilvl w:val="1"/>
          <w:numId w:val="2"/>
        </w:numPr>
        <w:rPr/>
      </w:pPr>
      <w:r>
        <w:rPr/>
        <w:t>Diagramma di deployment</w:t>
      </w:r>
    </w:p>
    <w:p>
      <w:pPr>
        <w:pStyle w:val="Normal"/>
        <w:rPr/>
      </w:pPr>
      <w:r>
        <w:rPr/>
      </w:r>
    </w:p>
    <w:p>
      <w:pPr>
        <w:pStyle w:val="Heading2"/>
        <w:numPr>
          <w:ilvl w:val="1"/>
          <w:numId w:val="2"/>
        </w:numPr>
        <w:rPr/>
      </w:pPr>
      <w:r>
        <w:rPr/>
        <w:t>Specifica e verifica dei vincoli</w:t>
      </w:r>
    </w:p>
    <w:p>
      <w:pPr>
        <w:pStyle w:val="Normal"/>
        <w:rPr>
          <w:rFonts w:cs="Calibri" w:cstheme="minorHAnsi"/>
        </w:rPr>
      </w:pPr>
      <w:r>
        <w:rPr>
          <w:rFonts w:cs="Calibri" w:cstheme="minorHAnsi"/>
        </w:rPr>
        <w:t xml:space="preserve">Vanno elencati i vincoli OCL facendo riferimento al diagramma delle classi definitivo. </w:t>
      </w:r>
    </w:p>
    <w:p>
      <w:pPr>
        <w:pStyle w:val="Normal"/>
        <w:rPr>
          <w:rFonts w:cs="Calibri" w:cstheme="minorHAnsi"/>
        </w:rPr>
      </w:pPr>
      <w:r>
        <w:rPr>
          <w:rFonts w:eastAsia="Times New Roman" w:cs="Calibri" w:cstheme="minorHAnsi"/>
          <w:lang w:eastAsia="it-IT"/>
        </w:rPr>
        <w:t xml:space="preserve">Per almeno </w:t>
      </w:r>
      <w:r>
        <w:rPr>
          <w:rFonts w:cs="Calibri" w:cstheme="minorHAnsi"/>
        </w:rPr>
        <w:t>un piccolo sottoinsieme di vincoli OCL è opportuno mostrare come almeno siano stati mappati in JML.</w:t>
      </w:r>
    </w:p>
    <w:p>
      <w:pPr>
        <w:pStyle w:val="Normal"/>
        <w:rPr>
          <w:rFonts w:cs="Calibri" w:cstheme="minorHAnsi"/>
        </w:rPr>
      </w:pPr>
      <w:r>
        <w:rPr>
          <w:rFonts w:cs="Calibri" w:cstheme="minorHAnsi"/>
        </w:rPr>
        <w:t>Visto che l’utilizzo delle librerie per l’implementazione dell’interfaccia grafica richiedono una versione di Java superiore a quella che supporta JML, non è obbligatorio ma opzionale riportare una o più schermate che mostrino il risultato in caso di violazioni di vincoli.</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Vanno documentati i test driver in JUnit e, dove possibile, va specificato il criterio di copertura utilizzato.</w:t>
      </w:r>
    </w:p>
    <w:p>
      <w:pPr>
        <w:pStyle w:val="Normal"/>
        <w:rPr/>
      </w:pPr>
      <w:r>
        <w:rPr/>
      </w:r>
    </w:p>
    <w:p>
      <w:pPr>
        <w:pStyle w:val="Heading2"/>
        <w:numPr>
          <w:ilvl w:val="1"/>
          <w:numId w:val="2"/>
        </w:numPr>
        <w:rPr/>
      </w:pPr>
      <w:r>
        <w:rPr/>
        <w:t>Note per l’installazione e l’utilizzo</w:t>
      </w:r>
    </w:p>
    <w:p>
      <w:pPr>
        <w:pStyle w:val="Normal"/>
        <w:rPr/>
      </w:pPr>
      <w:r>
        <w:rPr/>
        <w:t>In questa sezione vanno indicati l’ambiente di sviluppo e di compilazione.</w:t>
      </w:r>
    </w:p>
    <w:p>
      <w:pPr>
        <w:pStyle w:val="Normal"/>
        <w:rPr/>
      </w:pPr>
      <w:r>
        <w:rPr/>
        <w:t>Vanno specificate le eventuali credenziali necessarie per l’accesso al database e eventuali account di test già presenti nel sistema.</w:t>
      </w:r>
    </w:p>
    <w:p>
      <w:pPr>
        <w:pStyle w:val="Normal"/>
        <w:rPr/>
      </w:pPr>
      <w:r>
        <w:rPr/>
      </w:r>
    </w:p>
    <w:sectPr>
      <w:footerReference w:type="default" r:id="rId17"/>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92522497"/>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08"/>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Application>LibreOffice/6.4.7.2$Linux_X86_64 LibreOffice_project/40$Build-2</Application>
  <Pages>24</Pages>
  <Words>3785</Words>
  <Characters>23190</Characters>
  <CharactersWithSpaces>26361</CharactersWithSpaces>
  <Paragraphs>605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2021-10-03T18:20:52Z</dcterms:modified>
  <cp:revision>268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