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5090"/>
          <w:sz w:val="40"/>
          <w:szCs w:val="40"/>
        </w:rPr>
        <w:t xml:space="preserve">PIANO DI LEZIONE TLAC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30"/>
          <w:szCs w:val="30"/>
        </w:rPr>
        <w:t xml:space="preserve">Virgilio, Bucoliche IV e X</w:t>
      </w:r>
    </w:p>
    <w:p>
      <w:pPr>
        <w:pBdr>
          <w:bottom w:val="single" w:color="2E5090" w:sz="8" w:space="8"/>
        </w:pBdr>
        <w:spacing w:after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Liceo Classico – Durata: 55 minuti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1"/>
                <w:szCs w:val="21"/>
              </w:rPr>
              <w:t xml:space="preserve">Obiettivi di apprendimento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Analizzare il tema profetico-messianico della IV Bucolica e la sua ricezione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Interpretare la X Bucolica come congedo dal genere pastorale e riflessione metapoetica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Confrontare i due testi cogliendo simmetrie strutturali e tematiche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Tradurre e commentare passi selezionati con competenza linguistica e critica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1"/>
                <w:szCs w:val="21"/>
              </w:rPr>
              <w:t xml:space="preserve">Prerequisiti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Conoscenza del genere bucolico e del modello teocriteo; lettura delle Bucoliche I e IX; nozioni di prosodia e metrica esametrica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1"/>
                <w:szCs w:val="21"/>
              </w:rPr>
              <w:t xml:space="preserve">Materiali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Testo latino con traduzione a fronte (Buc. IV, vv. 1–63; Buc. X, vv. 1–77); scheda lessicale; lavagna/LIM</w:t>
            </w:r>
          </w:p>
        </w:tc>
      </w:tr>
    </w:tbl>
    <w:p>
      <w:pPr>
        <w:spacing w:before="80" w:after="80"/>
      </w:pPr>
    </w:p>
    <w:p>
      <w:pPr>
        <w:pBdr>
          <w:bottom w:val="single" w:color="2E5090" w:sz="6" w:space="4"/>
        </w:pBdr>
        <w:spacing w:before="300" w:after="160"/>
      </w:pPr>
      <w:r>
        <w:rPr>
          <w:rFonts w:ascii="Arial" w:cs="Arial" w:eastAsia="Arial" w:hAnsi="Arial"/>
          <w:b/>
          <w:bCs/>
          <w:i w:val="false"/>
          <w:iCs w:val="false"/>
          <w:color w:val="2E5090"/>
          <w:sz w:val="28"/>
          <w:szCs w:val="28"/>
        </w:rPr>
        <w:t xml:space="preserve">Tecniche TLAC utilizzate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53"/>
        <w:gridCol w:w="345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Tecnica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Momento della lezione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Cold Call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Chiamata diretta di studenti specifici senza alzata di mano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Analisi testuale, traduzione, domande di comprensione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No Opt Out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 studente che non risponde viene supportato e poi deve ripetere la risposta corretta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Dopo ogni Cold Call con risposta incompleta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Stretch It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Approfondire la risposta corretta con domande aggiuntive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Analisi dei temi e confronto tra le due egloghe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Right is Right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Accettare solo risposte complete e precise, non approssimative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Traduzione e analisi linguistica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Turn and Talk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Discussione a coppie su un quesito specifico (30–60 sec.)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Confronto tematico tra Buc. IV e 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Everybody Writes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Tutti scrivono una risposta prima della discussione</w:t>
            </w:r>
          </w:p>
        </w:tc>
        <w:tc>
          <w:tcPr>
            <w:tcW w:type="dxa" w:w="3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Exit ticket e attività di chiusura</w:t>
            </w:r>
          </w:p>
        </w:tc>
      </w:tr>
    </w:tbl>
    <w:p>
      <w:r>
        <w:br w:type="page"/>
      </w:r>
    </w:p>
    <w:p>
      <w:pPr>
        <w:pBdr>
          <w:bottom w:val="single" w:color="2E5090" w:sz="6" w:space="4"/>
        </w:pBdr>
        <w:spacing w:before="300" w:after="160"/>
      </w:pPr>
      <w:r>
        <w:rPr>
          <w:rFonts w:ascii="Arial" w:cs="Arial" w:eastAsia="Arial" w:hAnsi="Arial"/>
          <w:b/>
          <w:bCs/>
          <w:i w:val="false"/>
          <w:iCs w:val="false"/>
          <w:color w:val="2E5090"/>
          <w:sz w:val="28"/>
          <w:szCs w:val="28"/>
        </w:rPr>
        <w:t xml:space="preserve">Struttura della lezione (55 minuti)</w:t>
      </w:r>
    </w:p>
    <w:p>
      <w:pPr>
        <w:shd w:fill="2E5090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FASE 1 – Do Now / Attivazione 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0"/>
                <w:szCs w:val="20"/>
              </w:rPr>
              <w:t xml:space="preserve">Durata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 minuti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0"/>
                <w:szCs w:val="20"/>
              </w:rPr>
              <w:t xml:space="preserve">Tecnica TLAC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Everybody Writes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0"/>
                <w:szCs w:val="20"/>
              </w:rPr>
              <w:t xml:space="preserve">Attività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Alla lavagna/LIM proiettare il verso: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Magnus ab integro saeclorum nascitur ordo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(Buc. IV, 5).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Consegna scritta: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«Traduci il verso e in 2-3 righe spiega quale visione della storia Virgilio esprime qui. Che cosa significa parlare di un ordine dei secoli che rinasce?»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Gli studenti scrivono in silenzio sul quaderno. Il docente circola e osserva le risposte.</w:t>
            </w:r>
          </w:p>
        </w:tc>
      </w:tr>
    </w:tbl>
    <w:p>
      <w:pPr>
        <w:spacing w:before="60" w:after="60"/>
      </w:pPr>
    </w:p>
    <w:p>
      <w:pPr>
        <w:shd w:fill="2E5090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FASE 2 – La Bucolica IV: la profezia del puer 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0"/>
                <w:szCs w:val="20"/>
              </w:rPr>
              <w:t xml:space="preserve">Durata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15 minuti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0"/>
                <w:szCs w:val="20"/>
              </w:rPr>
              <w:t xml:space="preserve">Tecniche TLAC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Cold Call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No Opt Out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Stretch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0"/>
                <w:szCs w:val="20"/>
              </w:rPr>
              <w:t xml:space="preserve">Attività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A) Contestualizzazione (3 min.)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Breve inquadramento: la IV Bucolica è dedicata al console Asinio Pollione (40 a.C.); il carme annuncia la nascita di un puer misterioso e il ritorno dell’età dell’oro. Richiamare il contesto storico: pax di Brindisi, speranze di rinnovamento.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B) Lettura e analisi guidata (12 min.)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Passi chiave da leggere ad alta voce in latino e analizzare: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vv. 1–3: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Sicelides Musae, paulo maiora canamus! – L’innalzamento del tono rispetto alla poesia pastorale.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vv. 4–7: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Ultima Cumaei venit iam carminis aetas / magnus ab integro saeclorum nascitur ordo – La Sibilla Cumana e la ciclicità della storia.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vv. 18–25: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Le tappe della crescita del puer e la progressiva trasformazione della natura.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vv. 60–63: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Incipe, parve puer – L’invocazione finale al bambino.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C) Domande Cold Call (esempi):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«[Nome], qual è il significato di Sicelides Musae? Perché Virgilio invoca le Muse siciliane?»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→ Se la risposta è incompleta (No Opt Out): dare un indizio («Pensa a Teocrito e alla tradizione bucolica siciliana»), poi lo studente ripete la risposta completa.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«[Nome], il verso magnus ab integro saeclorum nascitur ordo richiama una concezione ciclica o lineare della storia? Motiva.»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→ Stretch It: «Ottimo. E come si collega questa visione ciclica alla tradizione orfico-pitagorica e alla Sibilla Cumana?»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«[Nome], chi è il puer? Elenca almeno tre ipotesi interpretative della critica.»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→ Right is Right: non accettare «forse il figlio di qualcuno» – pretendere i nomi (figlio di Pollione, di Ottaviano, figura simbolica, lettura cristiana).</w:t>
            </w:r>
          </w:p>
        </w:tc>
      </w:tr>
    </w:tbl>
    <w:p>
      <w:pPr>
        <w:spacing w:before="60" w:after="60"/>
      </w:pPr>
    </w:p>
    <w:p>
      <w:pPr>
        <w:shd w:fill="2E5090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FASE 3 – La Bucolica X: Gallo e il congedo 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0"/>
                <w:szCs w:val="20"/>
              </w:rPr>
              <w:t xml:space="preserve">Durata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15 minuti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0"/>
                <w:szCs w:val="20"/>
              </w:rPr>
              <w:t xml:space="preserve">Tecniche TLAC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Cold Call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Stretch 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Right is Right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0"/>
                <w:szCs w:val="20"/>
              </w:rPr>
              <w:t xml:space="preserve">Attività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A) Contestualizzazione (3 min.)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La X Bucolica è l’ultima del liber ed è dedicata al poeta Cornelio Gallo, amico di Virgilio e autore di elegie per Licoride (Citeride). Il carme mette in scena la sofferenza amorosa di Gallo trasportata nel paesaggio arcadico. È un testo-cerniera: congedo dal genere bucolico e apertura verso le Georgiche.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B) Lettura e analisi guidata (12 min.)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Passi chiave: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vv. 1–8: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Extremum hunc, Arethusa, mihi concede laborem – L’invocazione e la dichiarazione di poetica: è l’ultimo sforzo bucolico.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vv. 9–30: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Il lamento cosmico per Gallo: la natura partecipa al dolore (pathos universale).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vv. 31–69: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Il monologo di Gallo: il tentativo di trovare consolazione nella poesia bucolica e il suo fallimento. Omnia vincit Amor: et nos cedamus Amori (v. 69).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vv. 70–77: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L’epilogo: Ite domum saturae, venit Hesperus, ite capellae – Il congedo definitivo.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C) Domande Cold Call (esempi):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«[Nome], perché Virgilio invoca Aretusa e non le Muse? Qual è il legame con la Sicilia e con Teocrito?»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«[Nome], che cosa significa Omnia vincit Amor nel contesto del carme? È un’affermazione positiva o negativa?»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→ Stretch It: «Se Amore vince tutto, che ruolo ha la poesia? Può la poesia bucolica curare il dolore di Gallo?»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«[Nome], in che senso la X Bucolica è un congedo? Da che cosa si congeda Virgilio?»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→ Right is Right: pretendere una risposta che includa sia il congedo dal genere bucolico sia l’apertura a nuove forme poetiche.</w:t>
            </w:r>
          </w:p>
        </w:tc>
      </w:tr>
    </w:tbl>
    <w:p>
      <w:pPr>
        <w:spacing w:before="60" w:after="60"/>
      </w:pPr>
    </w:p>
    <w:p>
      <w:pPr>
        <w:shd w:fill="2E5090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FASE 4 – Confronto: apertura e chiusura del liber 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0"/>
                <w:szCs w:val="20"/>
              </w:rPr>
              <w:t xml:space="preserve">Durata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 minuti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0"/>
                <w:szCs w:val="20"/>
              </w:rPr>
              <w:t xml:space="preserve">Tecniche TLAC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Turn and Talk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Cold 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0"/>
                <w:szCs w:val="20"/>
              </w:rPr>
              <w:t xml:space="preserve">Attività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A) Turn and Talk (4 min.)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Consegna: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«Discutete con il compagno di banco: la IV Bucolica apre il liber con una visione di speranza cosmica; la X lo chiude con il fallimento dell’amore e della poesia. Che rapporto c’è tra queste due prospettive? Perché Virgilio sceglie di chiudere così?»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Il docente circola, ascolta le coppie, prende nota delle osservazioni migliori.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B) Discussione plenaria con Cold Call (6 min.)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Richiamare 3-4 coppie per condividere le riflessioni. Costruire alla lavagna una tabella comparativa:</w:t>
            </w:r>
          </w:p>
        </w:tc>
      </w:tr>
    </w:tbl>
    <w:p>
      <w:pPr>
        <w:spacing w:before="120" w:after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53"/>
        <w:gridCol w:w="35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Bucolica IV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Bucolica 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Tono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Profetico, solenne, elevato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Elegiaco, malinconico, intimista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Tema centrale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Rinascita cosmica, età dell’oro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Sofferenza amorosa, limiti della poesia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Rapporto con la tradizione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Superamento di Teocrito (paulo maiora canamus)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Congedo dal genere bucolico (extremum laborem)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Figura centrale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Il puer (figura messianica)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Gallo (poeta-amante)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Natura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 trasforma in età dell’oro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Partecipa al dolore ma non consola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Posizione nel liber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Centro (programmatica)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Chiusura (congedo)</w:t>
            </w:r>
          </w:p>
        </w:tc>
      </w:tr>
    </w:tbl>
    <w:p>
      <w:pPr>
        <w:spacing w:before="60" w:after="60"/>
      </w:pPr>
    </w:p>
    <w:p>
      <w:pPr>
        <w:shd w:fill="2E5090" w:val="clear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FASE 5 – Exit Ticket / Chiusura 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0"/>
                <w:szCs w:val="20"/>
              </w:rPr>
              <w:t xml:space="preserve">Durata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 minuti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0"/>
                <w:szCs w:val="20"/>
              </w:rPr>
              <w:t xml:space="preserve">Tecnica TLAC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Everybody Writes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20"/>
                <w:szCs w:val="20"/>
              </w:rPr>
              <w:t xml:space="preserve">Attività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Consegna scritta (exit ticket da consegnare):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«Virgilio scrive nella IV Bucolica: Incipe, parve puer, risu cognoscere matrem; nella X: Omnia vincit Amor: et nos cedamus Amori. In un testo di 8-10 righe, confronta queste due affermazioni e spiega come rappresentano la parabola del liber bucolico virgiliano.»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Il docente ritira gli exit ticket e li usa per la lezione successiva come punto di partenza per il ripasso.</w:t>
            </w:r>
          </w:p>
        </w:tc>
      </w:tr>
    </w:tbl>
    <w:p>
      <w:r>
        <w:br w:type="page"/>
      </w:r>
    </w:p>
    <w:p>
      <w:pPr>
        <w:pBdr>
          <w:bottom w:val="single" w:color="2E5090" w:sz="6" w:space="4"/>
        </w:pBdr>
        <w:spacing w:before="300" w:after="160"/>
      </w:pPr>
      <w:r>
        <w:rPr>
          <w:rFonts w:ascii="Arial" w:cs="Arial" w:eastAsia="Arial" w:hAnsi="Arial"/>
          <w:b/>
          <w:bCs/>
          <w:i w:val="false"/>
          <w:iCs w:val="false"/>
          <w:color w:val="2E5090"/>
          <w:sz w:val="28"/>
          <w:szCs w:val="28"/>
        </w:rPr>
        <w:t xml:space="preserve">Guida per il docente: gestione delle tecniche TLAC</w:t>
      </w:r>
    </w:p>
    <w:p>
      <w:pPr>
        <w:spacing w:after="12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090"/>
          <w:sz w:val="23"/>
          <w:szCs w:val="23"/>
        </w:rPr>
        <w:t xml:space="preserve">Cold Call – Consigli pratici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Formulare prima la domanda, poi fare una pausa di 3-5 secondi (tempo di attesa), infine pronunciare il nome dello studente. Questo garantisce che tutti pensino alla risposta prima di sapere chi verrà chiamato.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Distribuire le chiamate in modo equo: usare un elenco o un sistema a estrazione per evitare pattern prevedibili.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Mantenere un tono positivo e non punitivo: la Cold Call non è una punizione, ma un’aspettativa di partecipazione.</w:t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090"/>
          <w:sz w:val="23"/>
          <w:szCs w:val="23"/>
        </w:rPr>
        <w:t xml:space="preserve">No Opt Out – Sequenza tipo</w:t>
      </w:r>
    </w:p>
    <w:p>
      <w:pPr>
        <w:pStyle w:val="ListParagraph"/>
        <w:numPr>
          <w:ilvl w:val="0"/>
          <w:numId w:val="3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1. Lo studente A non sa rispondere.</w:t>
      </w:r>
    </w:p>
    <w:p>
      <w:pPr>
        <w:pStyle w:val="ListParagraph"/>
        <w:numPr>
          <w:ilvl w:val="0"/>
          <w:numId w:val="3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2. Il docente chiede a uno studente B di fornire la risposta.</w:t>
      </w:r>
    </w:p>
    <w:p>
      <w:pPr>
        <w:pStyle w:val="ListParagraph"/>
        <w:numPr>
          <w:ilvl w:val="0"/>
          <w:numId w:val="3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3. Lo studente A deve ripetere la risposta corretta con parole proprie.</w:t>
      </w:r>
    </w:p>
    <w:p>
      <w:pPr>
        <w:pStyle w:val="ListParagraph"/>
        <w:numPr>
          <w:ilvl w:val="0"/>
          <w:numId w:val="3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4. Il docente rinforza positivamente: «Bene, ora lo sai anche tu.»</w:t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090"/>
          <w:sz w:val="23"/>
          <w:szCs w:val="23"/>
        </w:rPr>
        <w:t xml:space="preserve">Stretch It – Domande-ponte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Dopo una risposta corretta, approfondire con domande come: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«Puoi collegare questo concetto a..?»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«Come cambierebbe il significato se Virgilio avesse usato..?»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«Quale altro autore latino affronta un tema simile?»</w:t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090"/>
          <w:sz w:val="23"/>
          <w:szCs w:val="23"/>
        </w:rPr>
        <w:t xml:space="preserve">Turn and Talk – Regole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Dare una consegna precisa e un tempo definito (30-60 secondi). Circolare tra i banchi. Al termine, chiamare 2-3 coppie con Cold Call per condividere. Non chiedere «chi vuole condividere?».</w:t>
      </w:r>
    </w:p>
    <w:p>
      <w:pPr>
        <w:spacing w:before="200" w:after="60"/>
      </w:pPr>
    </w:p>
    <w:p>
      <w:pPr>
        <w:pBdr>
          <w:bottom w:val="single" w:color="2E5090" w:sz="6" w:space="4"/>
        </w:pBdr>
        <w:spacing w:before="300" w:after="160"/>
      </w:pPr>
      <w:r>
        <w:rPr>
          <w:rFonts w:ascii="Arial" w:cs="Arial" w:eastAsia="Arial" w:hAnsi="Arial"/>
          <w:b/>
          <w:bCs/>
          <w:i w:val="false"/>
          <w:iCs w:val="false"/>
          <w:color w:val="2E5090"/>
          <w:sz w:val="28"/>
          <w:szCs w:val="28"/>
        </w:rPr>
        <w:t xml:space="preserve">Differenziazione e adattamenti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Per studenti in difficoltà: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Fornire la scheda lessicale con il vocabolario chiave dei passi selezionati; durante il Turn and Talk, affiancare lo studente a un compagno più forte; nell’exit ticket, consentire di lavorare su uno solo dei due versi proposti.</w:t>
      </w:r>
    </w:p>
    <w:p>
      <w:pPr>
        <w:spacing w:after="12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Per studenti avanzati: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Proporre il confronto intertestuale con Isaia 11 (lettura cristiana della IV Bucolica) o con Properzio III, 34 (il rapporto con l’elegia nella X Bucolica); nell’exit ticket, chiedere anche un’analisi stilistica (figure retoriche, scelte metriche).</w:t>
      </w:r>
    </w:p>
    <w:p>
      <w:pPr>
        <w:spacing w:before="200" w:after="60"/>
      </w:pPr>
    </w:p>
    <w:p>
      <w:pPr>
        <w:pBdr>
          <w:bottom w:val="single" w:color="2E5090" w:sz="6" w:space="4"/>
        </w:pBdr>
        <w:spacing w:before="300" w:after="160"/>
      </w:pPr>
      <w:r>
        <w:rPr>
          <w:rFonts w:ascii="Arial" w:cs="Arial" w:eastAsia="Arial" w:hAnsi="Arial"/>
          <w:b/>
          <w:bCs/>
          <w:i w:val="false"/>
          <w:iCs w:val="false"/>
          <w:color w:val="2E5090"/>
          <w:sz w:val="28"/>
          <w:szCs w:val="28"/>
        </w:rPr>
        <w:t xml:space="preserve">Verifica dell’apprendimento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La verifica formativa avviene su più livelli durante la lezione: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Do Now: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il docente osserva le risposte scritte e individua le misconceptions da affrontare.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Cold Call: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verifica in tempo reale della comprensione testuale e della capacità di analisi.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Turn and Talk: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il docente ascolta le discussioni e valuta la qualità del ragionamento comparativo.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Exit Ticket: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prodotto scritto da ritirare e valutare. Criteri: pertinenza testuale, capacità di confronto, correttezza linguistica, profondità dell’argomentazione.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i w:val="false"/>
        <w:iCs w:val="false"/>
        <w:color w:val="2E5090"/>
        <w:sz w:val="18"/>
        <w:szCs w:val="18"/>
      </w:rPr>
      <w:t xml:space="preserve">Piano di Lezione TLAC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/>
        <w:iCs/>
        <w:color w:val="666666"/>
        <w:sz w:val="18"/>
        <w:szCs w:val="18"/>
      </w:rPr>
      <w:t xml:space="preserve">Virgilio – Bucoliche IV e 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2026-02-23T06:25:14.460Z</dcterms:created>
  <dcterms:modified xsi:type="dcterms:W3CDTF">2026-02-23T06:25:14.460Z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