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CF03C" w14:textId="4BD07122" w:rsidR="00842995" w:rsidRDefault="00CF56BD" w:rsidP="00CF56BD">
      <w:pPr>
        <w:pStyle w:val="Title"/>
        <w:rPr>
          <w:lang w:val="it-IT"/>
        </w:rPr>
      </w:pPr>
      <w:r>
        <w:rPr>
          <w:lang w:val="it-IT"/>
        </w:rPr>
        <w:t xml:space="preserve">Come convertire i dati dall’output della libreria </w:t>
      </w:r>
      <w:proofErr w:type="spellStart"/>
      <w:r>
        <w:rPr>
          <w:lang w:val="it-IT"/>
        </w:rPr>
        <w:t>Gudhi</w:t>
      </w:r>
      <w:proofErr w:type="spellEnd"/>
      <w:r>
        <w:rPr>
          <w:lang w:val="it-IT"/>
        </w:rPr>
        <w:t xml:space="preserve"> a un grafo per </w:t>
      </w:r>
      <w:proofErr w:type="spellStart"/>
      <w:r>
        <w:rPr>
          <w:lang w:val="it-IT"/>
        </w:rPr>
        <w:t>Pytorch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Geometric</w:t>
      </w:r>
      <w:proofErr w:type="spellEnd"/>
    </w:p>
    <w:sdt>
      <w:sdtPr>
        <w:id w:val="-6188371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IT"/>
        </w:rPr>
      </w:sdtEndPr>
      <w:sdtContent>
        <w:p w14:paraId="0983E469" w14:textId="5FDE4878" w:rsidR="001143C1" w:rsidRDefault="001143C1">
          <w:pPr>
            <w:pStyle w:val="TOCHeading"/>
          </w:pPr>
          <w:r>
            <w:t>Table of Contents</w:t>
          </w:r>
        </w:p>
        <w:p w14:paraId="6D82F103" w14:textId="098673C9" w:rsidR="001143C1" w:rsidRDefault="001143C1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28585417" w:history="1">
            <w:r w:rsidRPr="001B5D9E">
              <w:rPr>
                <w:rStyle w:val="Hyperlink"/>
                <w:noProof/>
                <w:lang w:val="it-IT"/>
              </w:rPr>
              <w:t>1</w:t>
            </w:r>
            <w:r>
              <w:rPr>
                <w:noProof/>
              </w:rPr>
              <w:tab/>
            </w:r>
            <w:r w:rsidRPr="001B5D9E">
              <w:rPr>
                <w:rStyle w:val="Hyperlink"/>
                <w:noProof/>
                <w:lang w:val="it-IT"/>
              </w:rPr>
              <w:t>Conversione dell’output della libreria Gudhi in un grafo per Pytorch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_Toc128585417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3CBB" w14:textId="06149D2C" w:rsidR="001143C1" w:rsidRDefault="001143C1">
          <w:r>
            <w:rPr>
              <w:b/>
              <w:bCs/>
              <w:noProof/>
            </w:rPr>
            <w:fldChar w:fldCharType="end"/>
          </w:r>
        </w:p>
      </w:sdtContent>
    </w:sdt>
    <w:p w14:paraId="16911213" w14:textId="77777777" w:rsidR="001143C1" w:rsidRPr="001143C1" w:rsidRDefault="001143C1" w:rsidP="001143C1">
      <w:pPr>
        <w:rPr>
          <w:lang w:val="it-IT"/>
        </w:rPr>
      </w:pPr>
    </w:p>
    <w:p w14:paraId="715560B6" w14:textId="280F0DFE" w:rsidR="00CF56BD" w:rsidRDefault="00CF56BD" w:rsidP="001143C1">
      <w:pPr>
        <w:pStyle w:val="Heading1"/>
        <w:rPr>
          <w:lang w:val="it-IT"/>
        </w:rPr>
      </w:pPr>
      <w:bookmarkStart w:id="0" w:name="_Toc128585417"/>
      <w:r>
        <w:rPr>
          <w:lang w:val="it-IT"/>
        </w:rPr>
        <w:t xml:space="preserve">Conversione dell’output della libreria </w:t>
      </w:r>
      <w:proofErr w:type="spellStart"/>
      <w:r>
        <w:rPr>
          <w:lang w:val="it-IT"/>
        </w:rPr>
        <w:t>Gudhi</w:t>
      </w:r>
      <w:proofErr w:type="spellEnd"/>
      <w:r>
        <w:rPr>
          <w:lang w:val="it-IT"/>
        </w:rPr>
        <w:t xml:space="preserve"> in un grafo per </w:t>
      </w:r>
      <w:proofErr w:type="spellStart"/>
      <w:r>
        <w:rPr>
          <w:lang w:val="it-IT"/>
        </w:rPr>
        <w:t>Pytorch</w:t>
      </w:r>
      <w:bookmarkEnd w:id="0"/>
      <w:proofErr w:type="spellEnd"/>
    </w:p>
    <w:p w14:paraId="649888D0" w14:textId="006EB391" w:rsidR="00252C57" w:rsidRDefault="009A172C" w:rsidP="00252C57">
      <w:pPr>
        <w:rPr>
          <w:lang w:val="it-IT"/>
        </w:rPr>
      </w:pPr>
      <w:r w:rsidRPr="00DF2DB3">
        <w:rPr>
          <w:b/>
          <w:bCs/>
          <w:lang w:val="it-IT"/>
        </w:rPr>
        <w:t xml:space="preserve">La costruzione dei simplessi tramite il metodo di </w:t>
      </w:r>
      <w:proofErr w:type="spellStart"/>
      <w:r w:rsidRPr="00DF2DB3">
        <w:rPr>
          <w:b/>
          <w:bCs/>
          <w:lang w:val="it-IT"/>
        </w:rPr>
        <w:t>Vietoris</w:t>
      </w:r>
      <w:proofErr w:type="spellEnd"/>
      <w:r w:rsidRPr="00DF2DB3">
        <w:rPr>
          <w:b/>
          <w:bCs/>
          <w:lang w:val="it-IT"/>
        </w:rPr>
        <w:t>–</w:t>
      </w:r>
      <w:proofErr w:type="spellStart"/>
      <w:r w:rsidRPr="00DF2DB3">
        <w:rPr>
          <w:b/>
          <w:bCs/>
          <w:lang w:val="it-IT"/>
        </w:rPr>
        <w:t>Rips</w:t>
      </w:r>
      <w:proofErr w:type="spellEnd"/>
      <w:r w:rsidRPr="00DF2DB3">
        <w:rPr>
          <w:b/>
          <w:bCs/>
          <w:lang w:val="it-IT"/>
        </w:rPr>
        <w:t xml:space="preserve"> non è implementata nella libreria di </w:t>
      </w:r>
      <w:proofErr w:type="spellStart"/>
      <w:r w:rsidRPr="00DF2DB3">
        <w:rPr>
          <w:b/>
          <w:bCs/>
          <w:lang w:val="it-IT"/>
        </w:rPr>
        <w:t>Pytorch</w:t>
      </w:r>
      <w:proofErr w:type="spellEnd"/>
      <w:r>
        <w:rPr>
          <w:lang w:val="it-IT"/>
        </w:rPr>
        <w:t xml:space="preserve"> ma è disponibile nella libreria </w:t>
      </w:r>
      <w:proofErr w:type="spellStart"/>
      <w:r>
        <w:rPr>
          <w:lang w:val="it-IT"/>
        </w:rPr>
        <w:t>Gudhi</w:t>
      </w:r>
      <w:proofErr w:type="spellEnd"/>
      <w:r>
        <w:rPr>
          <w:lang w:val="it-IT"/>
        </w:rPr>
        <w:t>, la quale è in grado di fornire un output della struttura dell’albero associato alla costruzione del grafo.</w:t>
      </w:r>
    </w:p>
    <w:p w14:paraId="14D756A9" w14:textId="59C9F205" w:rsidR="009A172C" w:rsidRDefault="009A172C" w:rsidP="00252C57">
      <w:pPr>
        <w:rPr>
          <w:lang w:val="it-IT"/>
        </w:rPr>
      </w:pPr>
    </w:p>
    <w:p w14:paraId="01EBF5A6" w14:textId="77777777" w:rsidR="00DF2DB3" w:rsidRPr="00DF2DB3" w:rsidRDefault="00DF2DB3" w:rsidP="00DF2DB3">
      <w:pPr>
        <w:rPr>
          <w:lang w:val="it-IT"/>
        </w:rPr>
      </w:pPr>
      <w:r w:rsidRPr="00DF2DB3">
        <w:rPr>
          <w:lang w:val="it-IT"/>
        </w:rPr>
        <w:t xml:space="preserve">Il </w:t>
      </w:r>
      <w:r w:rsidRPr="00DF2DB3">
        <w:rPr>
          <w:b/>
          <w:bCs/>
          <w:lang w:val="it-IT"/>
        </w:rPr>
        <w:t xml:space="preserve">complesso di </w:t>
      </w:r>
      <w:proofErr w:type="spellStart"/>
      <w:r w:rsidRPr="00DF2DB3">
        <w:rPr>
          <w:b/>
          <w:bCs/>
          <w:lang w:val="it-IT"/>
        </w:rPr>
        <w:t>Vietoris-Rips</w:t>
      </w:r>
      <w:proofErr w:type="spellEnd"/>
      <w:r w:rsidRPr="00DF2DB3">
        <w:rPr>
          <w:b/>
          <w:bCs/>
          <w:lang w:val="it-IT"/>
        </w:rPr>
        <w:t xml:space="preserve"> è un tipo di complesso simpliciale utilizzato in topologia computazionale per analizzare la forma di un insieme di punti nello spazio</w:t>
      </w:r>
      <w:r w:rsidRPr="00DF2DB3">
        <w:rPr>
          <w:lang w:val="it-IT"/>
        </w:rPr>
        <w:t xml:space="preserve">. L'idea alla base del complesso di </w:t>
      </w:r>
      <w:proofErr w:type="spellStart"/>
      <w:r w:rsidRPr="00DF2DB3">
        <w:rPr>
          <w:lang w:val="it-IT"/>
        </w:rPr>
        <w:t>Vietoris-Rips</w:t>
      </w:r>
      <w:proofErr w:type="spellEnd"/>
      <w:r w:rsidRPr="00DF2DB3">
        <w:rPr>
          <w:lang w:val="it-IT"/>
        </w:rPr>
        <w:t xml:space="preserve"> è di costruire un </w:t>
      </w:r>
      <w:proofErr w:type="spellStart"/>
      <w:r w:rsidRPr="00DF2DB3">
        <w:rPr>
          <w:lang w:val="it-IT"/>
        </w:rPr>
        <w:t>simplicio</w:t>
      </w:r>
      <w:proofErr w:type="spellEnd"/>
      <w:r w:rsidRPr="00DF2DB3">
        <w:rPr>
          <w:lang w:val="it-IT"/>
        </w:rPr>
        <w:t xml:space="preserve"> per ogni sottoinsieme di punti che si trova a una distanza inferiore o uguale a un certo valore di soglia.</w:t>
      </w:r>
    </w:p>
    <w:p w14:paraId="543B9FB8" w14:textId="77777777" w:rsidR="00DF2DB3" w:rsidRPr="00DF2DB3" w:rsidRDefault="00DF2DB3" w:rsidP="00DF2DB3">
      <w:pPr>
        <w:rPr>
          <w:lang w:val="it-IT"/>
        </w:rPr>
      </w:pPr>
    </w:p>
    <w:p w14:paraId="33569112" w14:textId="5A44242B" w:rsidR="00DF2DB3" w:rsidRDefault="00DF2DB3" w:rsidP="00DF2DB3">
      <w:pPr>
        <w:rPr>
          <w:lang w:val="it-IT"/>
        </w:rPr>
      </w:pPr>
      <w:r w:rsidRPr="00DF2DB3">
        <w:rPr>
          <w:lang w:val="it-IT"/>
        </w:rPr>
        <w:t xml:space="preserve">In particolare, dato un insieme di punti in uno spazio metrico, si sceglie un parametro di distanza </w:t>
      </w:r>
      <m:oMath>
        <m:r>
          <w:rPr>
            <w:rFonts w:ascii="Cambria Math" w:hAnsi="Cambria Math"/>
            <w:lang w:val="it-IT"/>
          </w:rPr>
          <m:t>r &gt; 0</m:t>
        </m:r>
      </m:oMath>
      <w:r w:rsidRPr="00DF2DB3">
        <w:rPr>
          <w:lang w:val="it-IT"/>
        </w:rPr>
        <w:t xml:space="preserve"> e si considerano tutte le coppie di punti che si trovano a una distanza minore o uguale a </w:t>
      </w:r>
      <m:oMath>
        <m:r>
          <w:rPr>
            <w:rFonts w:ascii="Cambria Math" w:hAnsi="Cambria Math"/>
            <w:lang w:val="it-IT"/>
          </w:rPr>
          <m:t>r</m:t>
        </m:r>
      </m:oMath>
      <w:r w:rsidRPr="00DF2DB3">
        <w:rPr>
          <w:lang w:val="it-IT"/>
        </w:rPr>
        <w:t xml:space="preserve">. </w:t>
      </w:r>
    </w:p>
    <w:p w14:paraId="0274E6E1" w14:textId="639DB7F8" w:rsidR="00DF2DB3" w:rsidRDefault="00AA39E9" w:rsidP="00AA39E9">
      <w:pPr>
        <w:jc w:val="center"/>
        <w:rPr>
          <w:lang w:val="it-IT"/>
        </w:rPr>
      </w:pPr>
      <w:r w:rsidRPr="00252C57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252C57">
        <w:rPr>
          <w:rFonts w:ascii="Times New Roman" w:eastAsia="Times New Roman" w:hAnsi="Times New Roman" w:cs="Times New Roman"/>
          <w:lang w:eastAsia="en-GB"/>
        </w:rPr>
        <w:instrText xml:space="preserve"> INCLUDEPICTURE "https://www.researchgate.net/publication/322376045/figure/fig1/AS:581429555470336@1515635016646/An-example-of-the-Rips-Vietoris-complex-associated-to-a-2D-point-could-with-the.png" \* MERGEFORMATINET </w:instrText>
      </w:r>
      <w:r w:rsidRPr="00252C57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52C57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34A78FF1" wp14:editId="1B49EB24">
            <wp:extent cx="3049703" cy="1972880"/>
            <wp:effectExtent l="0" t="0" r="0" b="0"/>
            <wp:docPr id="1" name="Picture 1" descr="An example of the Rips-Vietoris complex associated to a 2D point could,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xample of the Rips-Vietoris complex associated to a 2D point could,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010" cy="198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C57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1D1FBFF2" w14:textId="10936E55" w:rsidR="009A172C" w:rsidRPr="00252C57" w:rsidRDefault="009A172C" w:rsidP="00252C57">
      <w:pPr>
        <w:rPr>
          <w:lang w:val="it-IT"/>
        </w:rPr>
      </w:pPr>
      <w:r>
        <w:rPr>
          <w:lang w:val="it-IT"/>
        </w:rPr>
        <w:t xml:space="preserve">Affinché l’albero a complessi simpliciali sia elaborabile come oggetto di </w:t>
      </w:r>
      <w:proofErr w:type="spellStart"/>
      <w:r>
        <w:rPr>
          <w:lang w:val="it-IT"/>
        </w:rPr>
        <w:t>Pytorch</w:t>
      </w:r>
      <w:proofErr w:type="spellEnd"/>
      <w:r>
        <w:rPr>
          <w:lang w:val="it-IT"/>
        </w:rPr>
        <w:t xml:space="preserve"> </w:t>
      </w:r>
    </w:p>
    <w:p w14:paraId="090B9E5D" w14:textId="5AFD31E1" w:rsidR="001143C1" w:rsidRDefault="00CF56BD" w:rsidP="00CF56BD">
      <w:pPr>
        <w:rPr>
          <w:rFonts w:eastAsiaTheme="minorEastAsia"/>
          <w:lang w:val="it-IT"/>
        </w:rPr>
      </w:pPr>
      <w:r>
        <w:rPr>
          <w:lang w:val="it-IT"/>
        </w:rPr>
        <w:t xml:space="preserve">È necessario costruire </w:t>
      </w:r>
      <w:r w:rsidR="00AA39E9">
        <w:rPr>
          <w:lang w:val="it-IT"/>
        </w:rPr>
        <w:t xml:space="preserve">l’oggetto data. Per poterlo fare è utile costruire per esempio </w:t>
      </w:r>
      <w:r>
        <w:rPr>
          <w:lang w:val="it-IT"/>
        </w:rPr>
        <w:t xml:space="preserve">la matrice di adiacenza </w:t>
      </w:r>
      <m:oMath>
        <m:r>
          <w:rPr>
            <w:rFonts w:ascii="Cambria Math" w:hAnsi="Cambria Math"/>
            <w:lang w:val="it-IT"/>
          </w:rPr>
          <m:t>A</m:t>
        </m:r>
      </m:oMath>
      <w:r w:rsidR="00AA39E9">
        <w:rPr>
          <w:rFonts w:eastAsiaTheme="minorEastAsia"/>
          <w:lang w:val="it-IT"/>
        </w:rPr>
        <w:t xml:space="preserve"> a partire dall’albero costruito dalla libreria </w:t>
      </w:r>
      <w:proofErr w:type="spellStart"/>
      <w:r w:rsidR="00AA39E9">
        <w:rPr>
          <w:rFonts w:eastAsiaTheme="minorEastAsia"/>
          <w:lang w:val="it-IT"/>
        </w:rPr>
        <w:t>gudhi</w:t>
      </w:r>
      <w:proofErr w:type="spellEnd"/>
      <w:r>
        <w:rPr>
          <w:rFonts w:eastAsiaTheme="minorEastAsia"/>
          <w:lang w:val="it-IT"/>
        </w:rPr>
        <w:t>. Per poterlo fare</w:t>
      </w:r>
      <w:r w:rsidR="001143C1">
        <w:rPr>
          <w:rFonts w:eastAsiaTheme="minorEastAsia"/>
          <w:lang w:val="it-IT"/>
        </w:rPr>
        <w:t xml:space="preserve"> bisogna cercare di capire dai dati quali nodi sono collegati tra di loro.</w:t>
      </w:r>
    </w:p>
    <w:p w14:paraId="2CCB5F43" w14:textId="111248E9" w:rsidR="001143C1" w:rsidRDefault="001143C1" w:rsidP="00CF56BD">
      <w:pPr>
        <w:rPr>
          <w:rFonts w:eastAsiaTheme="minorEastAsia"/>
          <w:lang w:val="it-IT"/>
        </w:rPr>
      </w:pPr>
    </w:p>
    <w:p w14:paraId="0583D5A2" w14:textId="663E34B2" w:rsidR="001143C1" w:rsidRDefault="001143C1" w:rsidP="00CF56BD">
      <w:pPr>
        <w:rPr>
          <w:rFonts w:eastAsiaTheme="minorEastAsia"/>
          <w:lang w:val="it-IT"/>
        </w:rPr>
      </w:pPr>
      <w:r>
        <w:rPr>
          <w:rFonts w:eastAsiaTheme="minorEastAsia"/>
          <w:lang w:val="it-IT"/>
        </w:rPr>
        <w:t xml:space="preserve">I dati dell’albero di </w:t>
      </w:r>
      <w:proofErr w:type="spellStart"/>
      <w:r>
        <w:rPr>
          <w:rFonts w:eastAsiaTheme="minorEastAsia"/>
          <w:lang w:val="it-IT"/>
        </w:rPr>
        <w:t>Rips</w:t>
      </w:r>
      <w:proofErr w:type="spellEnd"/>
    </w:p>
    <w:p w14:paraId="2FE07C2A" w14:textId="17744C3F" w:rsidR="00252C57" w:rsidRPr="00252C57" w:rsidRDefault="00252C57" w:rsidP="00252C57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7B786F85" w14:textId="77777777" w:rsidR="00252C57" w:rsidRDefault="00252C57" w:rsidP="00CF56BD">
      <w:pPr>
        <w:rPr>
          <w:rFonts w:eastAsiaTheme="minorEastAsia"/>
          <w:lang w:val="it-IT"/>
        </w:rPr>
      </w:pPr>
    </w:p>
    <w:p w14:paraId="71B09564" w14:textId="77777777" w:rsidR="001143C1" w:rsidRPr="001143C1" w:rsidRDefault="001143C1" w:rsidP="00CF56BD">
      <w:pPr>
        <w:rPr>
          <w:rFonts w:eastAsiaTheme="minorEastAsia"/>
          <w:lang w:val="it-IT"/>
        </w:rPr>
      </w:pPr>
    </w:p>
    <w:p w14:paraId="6C9880CD" w14:textId="31921CBA" w:rsidR="00CF56BD" w:rsidRDefault="00CF56BD" w:rsidP="00CF56BD">
      <w:pPr>
        <w:rPr>
          <w:lang w:val="it-IT"/>
        </w:rPr>
      </w:pPr>
    </w:p>
    <w:p w14:paraId="4D64E6E8" w14:textId="77777777" w:rsidR="00CF56BD" w:rsidRPr="00CF56BD" w:rsidRDefault="00CF56BD" w:rsidP="00CF56BD">
      <w:pPr>
        <w:rPr>
          <w:lang w:val="it-IT"/>
        </w:rPr>
      </w:pPr>
    </w:p>
    <w:sectPr w:rsidR="00CF56BD" w:rsidRPr="00CF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3970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58387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BD"/>
    <w:rsid w:val="0007430C"/>
    <w:rsid w:val="001143C1"/>
    <w:rsid w:val="00252C57"/>
    <w:rsid w:val="0034758D"/>
    <w:rsid w:val="00842995"/>
    <w:rsid w:val="009A172C"/>
    <w:rsid w:val="00AA39E9"/>
    <w:rsid w:val="00C50F02"/>
    <w:rsid w:val="00CB1BEF"/>
    <w:rsid w:val="00CD1705"/>
    <w:rsid w:val="00CF56BD"/>
    <w:rsid w:val="00DF2DB3"/>
    <w:rsid w:val="00F7135E"/>
    <w:rsid w:val="00FC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59F78"/>
  <w15:chartTrackingRefBased/>
  <w15:docId w15:val="{4377A1AC-D263-6841-8FB7-448DF4EA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BD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C1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C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C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C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C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C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C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C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56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CF56B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F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143C1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143C1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1143C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143C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143C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143C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143C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143C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143C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143C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143C1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B72236-694E-EF46-BECD-C00BAACAC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Zedda</dc:creator>
  <cp:keywords/>
  <dc:description/>
  <cp:lastModifiedBy>Andrea Zedda</cp:lastModifiedBy>
  <cp:revision>7</cp:revision>
  <dcterms:created xsi:type="dcterms:W3CDTF">2023-03-01T16:51:00Z</dcterms:created>
  <dcterms:modified xsi:type="dcterms:W3CDTF">2023-03-03T08:50:00Z</dcterms:modified>
</cp:coreProperties>
</file>