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EB1EA" w14:textId="77777777" w:rsidR="003464ED" w:rsidRPr="00FB3CCD" w:rsidRDefault="00000000" w:rsidP="00B57BE7">
      <w:pPr>
        <w:pStyle w:val="Heading2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RELATÓRIO DE DIAGNÓSTICO E INTERVENÇÃO ESTRATÉGICA: O CASO TELUS DIGITAL</w:t>
      </w:r>
    </w:p>
    <w:p w14:paraId="5FFC4CAD" w14:textId="77777777" w:rsidR="003464ED" w:rsidRPr="00FB3CCD" w:rsidRDefault="00000000" w:rsidP="00B57BE7">
      <w:pPr>
        <w:spacing w:before="60" w:line="360" w:lineRule="auto"/>
        <w:jc w:val="center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Análise da crise de engajamento e plano de revitalização do capital humano pós-M&amp;A e expansão de escala</w:t>
      </w:r>
    </w:p>
    <w:p w14:paraId="107598DC" w14:textId="4FC7862F" w:rsidR="003464ED" w:rsidRPr="00FB3CCD" w:rsidRDefault="003464E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0A75F349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1. INTRODUÇÃO</w:t>
      </w:r>
    </w:p>
    <w:p w14:paraId="6A02F64F" w14:textId="2A996E5E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No cenário contemporâneo da economia digital, a Gestão Estratégica de Pessoas (GEP) consolidou-se como o principal diferencial competitivo das organizações. Em setores onde o capital intelectual é o ativo primário, a capacidade de atrair, desenvolver e, fundamentalmente, engajar talentos determina a sustentabilidade e a capacidade de inovação de uma companhia. A GEP atua como a ponte entre os objetivos </w:t>
      </w:r>
      <w:proofErr w:type="spellStart"/>
      <w:r w:rsidRPr="00FB3CCD">
        <w:rPr>
          <w:rFonts w:ascii="Arial" w:hAnsi="Arial" w:cs="Arial"/>
          <w:sz w:val="24"/>
          <w:szCs w:val="24"/>
        </w:rPr>
        <w:t>macroestratégicos</w:t>
      </w:r>
      <w:proofErr w:type="spellEnd"/>
      <w:r w:rsidRPr="00FB3CCD">
        <w:rPr>
          <w:rFonts w:ascii="Arial" w:hAnsi="Arial" w:cs="Arial"/>
          <w:sz w:val="24"/>
          <w:szCs w:val="24"/>
        </w:rPr>
        <w:t xml:space="preserve"> da organização e a execução operacional, garantindo que a cultura organizacional seja o motor, e não o freio, do crescimento.</w:t>
      </w:r>
    </w:p>
    <w:p w14:paraId="0EB016C9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O presente relatório tem como objetivo realizar um diagnóstico focado exclusivamente na problemática de Gente e Gestão enfrentada pela TELUS Digital, especificamente em sua operação de Design na América Latina. O recorte não se limita ao Brasil: a partir de 2025, os escritórios de Buenos Aires, na Argentina, e da Cidade da Guatemala passaram a integrar o grupo, somando-se a Porto Alegre e São Paulo, de modo que as dores variam por escritório e essa dimensão regional precisa permanecer visível na análise. Após um período de sucessivas incorporações (M&amp;A) e um aumento expressivo na escala de projetos, a organização registrou uma deterioração relevante em seus indicadores de clima e intenção de permanência. Este documento utiliza os referenciais teóricos das aulas de Gestão Estratégica de Pessoas, em Gestão de Carreiras, Avaliação de Desempenho, Treinamento e Desenvolvimento, e Atração e Seleção, para analisar as causas raízes dessa erosão cultural e propor soluções práticas para estabilizar o ambiente e recuperar o engajamento.</w:t>
      </w:r>
    </w:p>
    <w:p w14:paraId="791E4350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1466C795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2. DESCRIÇÃO DA ORGANIZAÇÃO</w:t>
      </w:r>
    </w:p>
    <w:p w14:paraId="46035933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A TELUS Digital é o braço global de tecnologia e </w:t>
      </w:r>
      <w:r>
        <w:rPr>
          <w:rFonts w:ascii="Arial" w:hAnsi="Arial"/>
          <w:i/>
          <w:sz w:val="24"/>
        </w:rPr>
        <w:t>Customer Experience</w:t>
      </w:r>
      <w:r>
        <w:rPr>
          <w:rFonts w:ascii="Arial" w:hAnsi="Arial"/>
          <w:sz w:val="24"/>
        </w:rPr>
        <w:t xml:space="preserve"> (CX) da TELUS Corporation, operando em um mercado de altíssima competitividade por talentos técnicos. A operação de Design na América Latina tem um histórico de transformações aceleradas, originada da Poatek, uma </w:t>
      </w:r>
      <w:r>
        <w:rPr>
          <w:rFonts w:ascii="Arial" w:hAnsi="Arial"/>
          <w:i/>
          <w:sz w:val="24"/>
        </w:rPr>
        <w:t>boutique</w:t>
      </w:r>
      <w:r>
        <w:rPr>
          <w:rFonts w:ascii="Arial" w:hAnsi="Arial"/>
          <w:sz w:val="24"/>
        </w:rPr>
        <w:t xml:space="preserve"> de software de Porto Alegre reconhecida por sua cultura de excelência, agilidade e forte identidade profissional. Trata-se hoje de uma célula de </w:t>
      </w:r>
      <w:r>
        <w:rPr>
          <w:rFonts w:ascii="Arial" w:hAnsi="Arial"/>
          <w:b/>
          <w:sz w:val="24"/>
        </w:rPr>
        <w:t>41 pessoas</w:t>
      </w:r>
      <w:r>
        <w:rPr>
          <w:rFonts w:ascii="Arial" w:hAnsi="Arial"/>
          <w:sz w:val="24"/>
        </w:rPr>
        <w:t xml:space="preserve"> dentro de um grupo global com </w:t>
      </w:r>
      <w:r>
        <w:rPr>
          <w:rFonts w:ascii="Arial" w:hAnsi="Arial"/>
          <w:b/>
          <w:sz w:val="24"/>
        </w:rPr>
        <w:t>mais de 140 mil profissionais</w:t>
      </w:r>
      <w:r>
        <w:rPr>
          <w:rFonts w:ascii="Arial" w:hAnsi="Arial"/>
          <w:sz w:val="24"/>
        </w:rPr>
        <w:t xml:space="preserve">, distribuída em </w:t>
      </w:r>
      <w:r>
        <w:rPr>
          <w:rFonts w:ascii="Arial" w:hAnsi="Arial"/>
          <w:b/>
          <w:sz w:val="24"/>
        </w:rPr>
        <w:t>quatro escritórios e três países</w:t>
      </w:r>
      <w:r>
        <w:rPr>
          <w:rFonts w:ascii="Arial" w:hAnsi="Arial"/>
          <w:sz w:val="24"/>
        </w:rPr>
        <w:t>: Porto Alegre e São Paulo, no Brasil, Buenos Aires, na Argentina, e a Cidade da Guatemala.</w:t>
      </w:r>
    </w:p>
    <w:p w14:paraId="0981CA9A" w14:textId="53560FF8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A unidade passou por uma sucessão de integrações críticas: primeiro pela WillowTree em 2021, seguida pela aquisição pela TELUS International em 2022, culminando na atual estrutura da TELUS Digital em 2025, ano em que a TELUS concluiu o </w:t>
      </w:r>
      <w:r>
        <w:rPr>
          <w:rFonts w:ascii="Arial" w:hAnsi="Arial"/>
          <w:b/>
          <w:sz w:val="24"/>
        </w:rPr>
        <w:t>fechamento de capital</w:t>
      </w:r>
      <w:r>
        <w:rPr>
          <w:rFonts w:ascii="Arial" w:hAnsi="Arial"/>
          <w:sz w:val="24"/>
        </w:rPr>
        <w:t xml:space="preserve"> e em que Buenos Aires e a Cidade da Guatemala passaram a integrar o grupo. Essa transição de uma estrutura de </w:t>
      </w:r>
      <w:r>
        <w:rPr>
          <w:rFonts w:ascii="Arial" w:hAnsi="Arial"/>
          <w:i/>
          <w:sz w:val="24"/>
        </w:rPr>
        <w:t>boutique</w:t>
      </w:r>
      <w:r>
        <w:rPr>
          <w:rFonts w:ascii="Arial" w:hAnsi="Arial"/>
          <w:sz w:val="24"/>
        </w:rPr>
        <w:t xml:space="preserve"> para uma escala corporativa global trouxe um aumento significativo na complexidade e no volume dos projetos. No entanto, essa expansão de escala não foi acompanhada por uma estratégia de sustentação do capital humano que preservasse a essência cultural da operação original, resultando em um ambiente em constante mutação institucional e em distanciamento entre a liderança global e a base operacional. Vale registrar que o negócio permanece saudável no plano financeiro, com receita anual de </w:t>
      </w:r>
      <w:r>
        <w:rPr>
          <w:rFonts w:ascii="Arial" w:hAnsi="Arial"/>
          <w:b/>
          <w:sz w:val="24"/>
        </w:rPr>
        <w:t>US$ 2,8 bilhões</w:t>
      </w:r>
      <w:r>
        <w:rPr>
          <w:rFonts w:ascii="Arial" w:hAnsi="Arial"/>
          <w:sz w:val="24"/>
        </w:rPr>
        <w:t xml:space="preserve"> em 2025, </w:t>
      </w:r>
      <w:r>
        <w:rPr>
          <w:rFonts w:ascii="Arial" w:hAnsi="Arial"/>
          <w:b/>
          <w:sz w:val="24"/>
        </w:rPr>
        <w:t>crescimento de 5%</w:t>
      </w:r>
      <w:r>
        <w:rPr>
          <w:rFonts w:ascii="Arial" w:hAnsi="Arial"/>
          <w:sz w:val="24"/>
        </w:rPr>
        <w:t xml:space="preserve"> sobre 2024 e lucro positivo, o que sustenta a tese de que </w:t>
      </w:r>
      <w:r>
        <w:rPr>
          <w:rFonts w:ascii="Arial" w:hAnsi="Arial"/>
          <w:b/>
          <w:sz w:val="24"/>
        </w:rPr>
        <w:t>o problema aqui é de gente</w:t>
      </w:r>
      <w:r>
        <w:rPr>
          <w:rFonts w:ascii="Arial" w:hAnsi="Arial"/>
          <w:sz w:val="24"/>
        </w:rPr>
        <w:t>, e não de resultado financeiro.</w:t>
      </w:r>
    </w:p>
    <w:p w14:paraId="13BF1FCD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53463DF3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3. IDENTIFICAÇÃO DO PROBLEMA CENTRAL</w:t>
      </w:r>
    </w:p>
    <w:p w14:paraId="48C38279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O problema central identificado é a crise aguda de engajamento e a diluição da identidade cultural decorrente das sucessivas incorporações e do crescimento acelerado sem suporte estrutural humano. A mudança constante de gestão e a pressão pelo aumento na escala de projetos geraram uma quebra no contrato psicológico, refletida nos dados do </w:t>
      </w:r>
      <w:r>
        <w:rPr>
          <w:rFonts w:ascii="Arial" w:hAnsi="Arial"/>
          <w:i/>
          <w:sz w:val="24"/>
        </w:rPr>
        <w:t>Pulsecheck</w:t>
      </w:r>
      <w:r>
        <w:rPr>
          <w:rFonts w:ascii="Arial" w:hAnsi="Arial"/>
          <w:sz w:val="24"/>
        </w:rPr>
        <w:t xml:space="preserve"> 2025, em que o índice de engajamento ficou em </w:t>
      </w:r>
      <w:r>
        <w:rPr>
          <w:rFonts w:ascii="Arial" w:hAnsi="Arial"/>
          <w:b/>
          <w:sz w:val="24"/>
        </w:rPr>
        <w:t>40 pontos</w:t>
      </w:r>
      <w:r>
        <w:rPr>
          <w:rFonts w:ascii="Arial" w:hAnsi="Arial"/>
          <w:sz w:val="24"/>
        </w:rPr>
        <w:t xml:space="preserve">. A meta oficial do ciclo, definida no </w:t>
      </w:r>
      <w:r>
        <w:rPr>
          <w:rFonts w:ascii="Arial" w:hAnsi="Arial"/>
          <w:i/>
          <w:sz w:val="24"/>
        </w:rPr>
        <w:t>Scorecard</w:t>
      </w:r>
      <w:r>
        <w:rPr>
          <w:rFonts w:ascii="Arial" w:hAnsi="Arial"/>
          <w:sz w:val="24"/>
        </w:rPr>
        <w:t xml:space="preserve"> de 2025, era de </w:t>
      </w:r>
      <w:r>
        <w:rPr>
          <w:rFonts w:ascii="Arial" w:hAnsi="Arial"/>
          <w:b/>
          <w:sz w:val="24"/>
        </w:rPr>
        <w:t>80 pontos</w:t>
      </w:r>
      <w:r>
        <w:rPr>
          <w:rFonts w:ascii="Arial" w:hAnsi="Arial"/>
          <w:sz w:val="24"/>
        </w:rPr>
        <w:t xml:space="preserve">, de modo que o resultado representa exatamente </w:t>
      </w:r>
      <w:r>
        <w:rPr>
          <w:rFonts w:ascii="Arial" w:hAnsi="Arial"/>
          <w:b/>
          <w:sz w:val="24"/>
        </w:rPr>
        <w:t>metade da meta formal da empresa</w:t>
      </w:r>
      <w:r>
        <w:rPr>
          <w:rFonts w:ascii="Arial" w:hAnsi="Arial"/>
          <w:sz w:val="24"/>
        </w:rPr>
        <w:t xml:space="preserve">, um desvio expressivo que posiciona a área no </w:t>
      </w:r>
      <w:r>
        <w:rPr>
          <w:rFonts w:ascii="Arial" w:hAnsi="Arial"/>
          <w:b/>
          <w:sz w:val="24"/>
        </w:rPr>
        <w:t>quartil inferior</w:t>
      </w:r>
      <w:r>
        <w:rPr>
          <w:rFonts w:ascii="Arial" w:hAnsi="Arial"/>
          <w:sz w:val="24"/>
        </w:rPr>
        <w:t xml:space="preserve"> do </w:t>
      </w:r>
      <w:r>
        <w:rPr>
          <w:rFonts w:ascii="Arial" w:hAnsi="Arial"/>
          <w:i/>
          <w:sz w:val="24"/>
        </w:rPr>
        <w:t>benchmark</w:t>
      </w:r>
      <w:r>
        <w:rPr>
          <w:rFonts w:ascii="Arial" w:hAnsi="Arial"/>
          <w:sz w:val="24"/>
        </w:rPr>
        <w:t xml:space="preserve"> global de engajamento.</w:t>
      </w:r>
    </w:p>
    <w:p w14:paraId="647E29B6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Nota metodológica. O dado precisa ser lido com honestidade quanto a seus limites. A pesquisa teve amostra pequena, com </w:t>
      </w:r>
      <w:r>
        <w:rPr>
          <w:rFonts w:ascii="Arial" w:hAnsi="Arial"/>
          <w:b/>
          <w:sz w:val="24"/>
        </w:rPr>
        <w:t>20 respostas de um universo de 41 pessoas</w:t>
      </w:r>
      <w:r>
        <w:rPr>
          <w:rFonts w:ascii="Arial" w:hAnsi="Arial"/>
          <w:sz w:val="24"/>
        </w:rPr>
        <w:t xml:space="preserve">, e a forma de medir mudou de 2024 para 2025, o que impede comparação histórica direta. Por isso, evita-se aqui afirmar categoricamente que o engajamento despencou, já que não há base comparável estável. Esses limites, porém, não invalidam o diagnóstico: um workshop posterior, conduzido com </w:t>
      </w:r>
      <w:r>
        <w:rPr>
          <w:rFonts w:ascii="Arial" w:hAnsi="Arial"/>
          <w:b/>
          <w:sz w:val="24"/>
        </w:rPr>
        <w:t>todos os 41 membros do time</w:t>
      </w:r>
      <w:r>
        <w:rPr>
          <w:rFonts w:ascii="Arial" w:hAnsi="Arial"/>
          <w:sz w:val="24"/>
        </w:rPr>
        <w:t xml:space="preserve">, validou que o sentimento captado pela pesquisa era </w:t>
      </w:r>
      <w:r>
        <w:rPr>
          <w:rFonts w:ascii="Arial" w:hAnsi="Arial"/>
          <w:b/>
          <w:sz w:val="24"/>
        </w:rPr>
        <w:t>compartilhado pela imensa maioria</w:t>
      </w:r>
      <w:r>
        <w:rPr>
          <w:rFonts w:ascii="Arial" w:hAnsi="Arial"/>
          <w:sz w:val="24"/>
        </w:rPr>
        <w:t>. A triangulação entre o dado quantitativo e a escuta qualitativa sustenta empiricamente os achados, ainda que a precisão numérica peça cautela.</w:t>
      </w:r>
    </w:p>
    <w:p w14:paraId="0F7124B7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A leitura do caso aponta que </w:t>
      </w:r>
      <w:r>
        <w:rPr>
          <w:rFonts w:ascii="Arial" w:hAnsi="Arial"/>
          <w:b/>
          <w:sz w:val="24"/>
        </w:rPr>
        <w:t>o eixo da falha está na gestão da mudança</w:t>
      </w:r>
      <w:r>
        <w:rPr>
          <w:rFonts w:ascii="Arial" w:hAnsi="Arial"/>
          <w:sz w:val="24"/>
        </w:rPr>
        <w:t xml:space="preserve"> ao longo das integrações. É preciso registrar que a disciplina não oferece um framework formal de </w:t>
      </w:r>
      <w:r>
        <w:rPr>
          <w:rFonts w:ascii="Arial" w:hAnsi="Arial"/>
          <w:i/>
          <w:sz w:val="24"/>
        </w:rPr>
        <w:t>change management</w:t>
      </w:r>
      <w:r>
        <w:rPr>
          <w:rFonts w:ascii="Arial" w:hAnsi="Arial"/>
          <w:sz w:val="24"/>
        </w:rPr>
        <w:t xml:space="preserve">, de modo que esta é uma interpretação do caso, apoiada na discussão de mudança organizacional trazida por Wood Jr (1995) e no caso GE estudado na Aula 6. O foco na integração operacional e no aumento da produtividade negligenciou o impacto humano da transição. As dimensões afetadas podem ser lidas pelo modelo </w:t>
      </w:r>
      <w:r>
        <w:rPr>
          <w:rFonts w:ascii="Arial" w:hAnsi="Arial"/>
          <w:i/>
          <w:sz w:val="24"/>
        </w:rPr>
        <w:t>Say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i/>
          <w:sz w:val="24"/>
        </w:rPr>
        <w:t>Stay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i/>
          <w:sz w:val="24"/>
        </w:rPr>
        <w:t>Strive</w:t>
      </w:r>
      <w:r>
        <w:rPr>
          <w:rFonts w:ascii="Arial" w:hAnsi="Arial"/>
          <w:sz w:val="24"/>
        </w:rPr>
        <w:t xml:space="preserve">, que é o framework da própria pesquisa </w:t>
      </w:r>
      <w:r>
        <w:rPr>
          <w:rFonts w:ascii="Arial" w:hAnsi="Arial"/>
          <w:i/>
          <w:sz w:val="24"/>
        </w:rPr>
        <w:t>Pulsecheck</w:t>
      </w:r>
      <w:r>
        <w:rPr>
          <w:rFonts w:ascii="Arial" w:hAnsi="Arial"/>
          <w:sz w:val="24"/>
        </w:rPr>
        <w:t>, e não da bibliografia da disciplina:</w:t>
      </w:r>
    </w:p>
    <w:p w14:paraId="029A4246" w14:textId="110D0289" w:rsidR="003464ED" w:rsidRPr="00FB3CCD" w:rsidRDefault="00000000" w:rsidP="00B57BE7">
      <w:pPr>
        <w:pStyle w:val="ListParagraph"/>
        <w:numPr>
          <w:ilvl w:val="0"/>
          <w:numId w:val="1"/>
        </w:numPr>
        <w:spacing w:before="40" w:after="4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Say (falar bem): o item de recomendação da empresa permanece relativamente alto, em 75%, mas convive com deterioração da segurança psicológica no plano institucional, em que as pessoas não se sentem seguras para se posicionar sobre os desafios da empresa.</w:t>
      </w:r>
    </w:p>
    <w:p w14:paraId="72ED16F9" w14:textId="77777777" w:rsidR="003464ED" w:rsidRPr="00FB3CCD" w:rsidRDefault="00000000" w:rsidP="00B57BE7">
      <w:pPr>
        <w:pStyle w:val="ListParagraph"/>
        <w:numPr>
          <w:ilvl w:val="0"/>
          <w:numId w:val="1"/>
        </w:numPr>
        <w:spacing w:before="40" w:after="4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Stay (querer ficar): a intenção de permanência caiu a 25%, com gap de 49 pontos contra o benchmark, sinalizando risco de turnover voluntário, em parte porque o talento não vê mais a cultura de boutique que o atraiu originalmente.</w:t>
      </w:r>
    </w:p>
    <w:p w14:paraId="0C973A5C" w14:textId="77777777" w:rsidR="003464ED" w:rsidRPr="00FB3CCD" w:rsidRDefault="00000000" w:rsidP="00B57BE7">
      <w:pPr>
        <w:pStyle w:val="ListParagraph"/>
        <w:numPr>
          <w:ilvl w:val="0"/>
          <w:numId w:val="1"/>
        </w:numPr>
        <w:spacing w:before="40" w:after="40" w:line="360" w:lineRule="auto"/>
        <w:rPr>
          <w:rFonts w:ascii="Arial" w:hAnsi="Arial" w:cs="Arial"/>
          <w:sz w:val="24"/>
          <w:szCs w:val="24"/>
        </w:rPr>
      </w:pPr>
      <w:proofErr w:type="spellStart"/>
      <w:r w:rsidRPr="00FB3CCD">
        <w:rPr>
          <w:rFonts w:ascii="Arial" w:hAnsi="Arial" w:cs="Arial"/>
          <w:sz w:val="24"/>
          <w:szCs w:val="24"/>
        </w:rPr>
        <w:t>Strive</w:t>
      </w:r>
      <w:proofErr w:type="spellEnd"/>
      <w:r w:rsidRPr="00FB3CCD">
        <w:rPr>
          <w:rFonts w:ascii="Arial" w:hAnsi="Arial" w:cs="Arial"/>
          <w:sz w:val="24"/>
          <w:szCs w:val="24"/>
        </w:rPr>
        <w:t xml:space="preserve"> (esforçar-se além): o indicador ficou em 30%, com gap de 45 pontos. O aumento na escala de projetos sem o devido suporte gera sobrecarga e limita o esforço discricionário ao mínimo necessário.</w:t>
      </w:r>
    </w:p>
    <w:p w14:paraId="20A69532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O sentimento predominante é de que a agilidade e o reconhecimento da antiga Poatek foram substituídos por uma estrutura global impessoal, em que o colaborador sente-se apenas uma peça em uma engrenagem de larga escala. Esse sentimento, contudo, não é homogêneo entre os quatro escritórios: </w:t>
      </w:r>
      <w:r>
        <w:rPr>
          <w:rFonts w:ascii="Arial" w:hAnsi="Arial"/>
          <w:b/>
          <w:sz w:val="24"/>
        </w:rPr>
        <w:t>as dores variam por localidade</w:t>
      </w:r>
      <w:r>
        <w:rPr>
          <w:rFonts w:ascii="Arial" w:hAnsi="Arial"/>
          <w:sz w:val="24"/>
        </w:rPr>
        <w:t>, e a heterogeneidade regional deve permanecer visível no diagnóstico.</w:t>
      </w:r>
    </w:p>
    <w:p w14:paraId="57130A46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O dado mais característico do caso é um paradoxo entre o nível micro e o nível macro. No plano do time imediato, a confiança é altíssima: o apoio do gestor para ter sucesso aparece em </w:t>
      </w:r>
      <w:r>
        <w:rPr>
          <w:rFonts w:ascii="Arial" w:hAnsi="Arial"/>
          <w:b/>
          <w:sz w:val="24"/>
        </w:rPr>
        <w:t>100%</w:t>
      </w:r>
      <w:r>
        <w:rPr>
          <w:rFonts w:ascii="Arial" w:hAnsi="Arial"/>
          <w:sz w:val="24"/>
        </w:rPr>
        <w:t xml:space="preserve">, o respeito entre colegas em </w:t>
      </w:r>
      <w:r>
        <w:rPr>
          <w:rFonts w:ascii="Arial" w:hAnsi="Arial"/>
          <w:b/>
          <w:sz w:val="24"/>
        </w:rPr>
        <w:t>100%</w:t>
      </w:r>
      <w:r>
        <w:rPr>
          <w:rFonts w:ascii="Arial" w:hAnsi="Arial"/>
          <w:sz w:val="24"/>
        </w:rPr>
        <w:t xml:space="preserve"> e o incentivo do gestor à inovação em </w:t>
      </w:r>
      <w:r>
        <w:rPr>
          <w:rFonts w:ascii="Arial" w:hAnsi="Arial"/>
          <w:b/>
          <w:sz w:val="24"/>
        </w:rPr>
        <w:t>95%</w:t>
      </w:r>
      <w:r>
        <w:rPr>
          <w:rFonts w:ascii="Arial" w:hAnsi="Arial"/>
          <w:sz w:val="24"/>
        </w:rPr>
        <w:t xml:space="preserve">. No plano institucional, porém, os indicadores desabam: </w:t>
      </w:r>
      <w:r>
        <w:rPr>
          <w:rFonts w:ascii="Arial" w:hAnsi="Arial"/>
          <w:b/>
          <w:sz w:val="24"/>
        </w:rPr>
        <w:t>é seguro me posicionar sem medo ficou em 30%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b/>
          <w:sz w:val="24"/>
        </w:rPr>
        <w:t>o pior item de toda a pesquisa</w:t>
      </w:r>
      <w:r>
        <w:rPr>
          <w:rFonts w:ascii="Arial" w:hAnsi="Arial"/>
          <w:sz w:val="24"/>
        </w:rPr>
        <w:t xml:space="preserve">, sou motivado pelos valores da empresa também em 30% e entendo meu programa de remuneração em 35%. </w:t>
      </w:r>
      <w:r>
        <w:rPr>
          <w:rFonts w:ascii="Arial" w:hAnsi="Arial"/>
          <w:b/>
          <w:sz w:val="24"/>
        </w:rPr>
        <w:t>As pessoas confiam em quem está perto e desconfiam do que está acima</w:t>
      </w:r>
      <w:r>
        <w:rPr>
          <w:rFonts w:ascii="Arial" w:hAnsi="Arial"/>
          <w:sz w:val="24"/>
        </w:rPr>
        <w:t xml:space="preserve">. Essa tensão foi sintoma avaliado nos workshops: as falas tratavam de desconforto em falar em reuniões maiores e em escalar questões para a vice-presidência e as lideranças globais. Não se trata de medo do gestor direto, e sim de </w:t>
      </w:r>
      <w:r>
        <w:rPr>
          <w:rFonts w:ascii="Arial" w:hAnsi="Arial"/>
          <w:b/>
          <w:sz w:val="24"/>
        </w:rPr>
        <w:t>insegurança diante da instância global e institucional</w:t>
      </w:r>
      <w:r>
        <w:rPr>
          <w:rFonts w:ascii="Arial" w:hAnsi="Arial"/>
          <w:sz w:val="24"/>
        </w:rPr>
        <w:t>. Cabe registrar que segurança psicológica é um conceito consolidado na literatura, associado a Edmondson, e não um framework das aulas da disciplina.</w:t>
      </w:r>
    </w:p>
    <w:p w14:paraId="29160314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31B6545D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4. ANÁLISE DOS PROBLEMAS SOB REFERENCIAIS TEÓRICOS</w:t>
      </w:r>
    </w:p>
    <w:p w14:paraId="3ACF4C47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4.1 Gestão de Carreiras: Preservação da Identidade e Carreira </w:t>
      </w:r>
      <w:proofErr w:type="spellStart"/>
      <w:r w:rsidRPr="00FB3CCD">
        <w:rPr>
          <w:rFonts w:ascii="Arial" w:hAnsi="Arial" w:cs="Arial"/>
          <w:sz w:val="24"/>
          <w:szCs w:val="24"/>
        </w:rPr>
        <w:t>Proteana</w:t>
      </w:r>
      <w:proofErr w:type="spellEnd"/>
    </w:p>
    <w:p w14:paraId="3DAE0720" w14:textId="63E4F5BE" w:rsidR="003464ED" w:rsidRPr="00FB3CCD" w:rsidRDefault="00A143BA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 xml:space="preserve">A insatisfação reflete uma falha na transição para o modelo de Carreira Proteana, conceito de Hall trabalhado na Aula 7, em que o profissional busca autogestão e alinhamento entre valores pessoais e organizacionais. Em empresas de tecnologia, esse alinhamento é determinante. As sucessivas mudanças de gestão retiraram o protagonismo do indivíduo e impuseram trilhas de carreira que não dialogam com a identidade profissional construída na fase inicial, o que se </w:t>
      </w:r>
      <w:r w:rsidRPr="00FB3CCD">
        <w:rPr>
          <w:rFonts w:ascii="Arial" w:hAnsi="Arial" w:cs="Arial"/>
          <w:sz w:val="24"/>
          <w:szCs w:val="24"/>
        </w:rPr>
        <w:lastRenderedPageBreak/>
        <w:t>conecta à discussão de preferências e administração de carreiras de Dutra, também vista na disciplina. A falta de clareza sobre o futuro profissional em uma estrutura de grande escala corrói o contrato psicológico, conceito de Schein igualmente abordado na Aula 7, gerando sensação de estagnação e perda de propósito.</w:t>
      </w:r>
    </w:p>
    <w:p w14:paraId="79D18546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7F8647AA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58542D77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4.2 Avaliação de Desempenho: O Desafio da Gestão de Mudanças</w:t>
      </w:r>
    </w:p>
    <w:p w14:paraId="30611C14" w14:textId="667BDF7B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proofErr w:type="spellStart"/>
      <w:proofErr w:type="spellEnd"/>
      <w:r>
        <w:rPr>
          <w:rFonts w:ascii="Arial" w:hAnsi="Arial"/>
          <w:sz w:val="24"/>
        </w:rPr>
        <w:t xml:space="preserve">Em um cenário de crescimento acelerado, a avaliação tendeu a se tornar puramente métrica, presa ao quê e cega ao como, o que contraria a noção de Performance Sustentável discutida na Aula 6, que articula resultado e comportamento. Ao ignorar a leitura de potencial, a operação deixa de usar instrumentos como a Matriz Desempenho x Potencial, a </w:t>
      </w:r>
      <w:r>
        <w:rPr>
          <w:rFonts w:ascii="Arial" w:hAnsi="Arial"/>
          <w:i/>
          <w:sz w:val="24"/>
        </w:rPr>
        <w:t>9-box</w:t>
      </w:r>
      <w:r>
        <w:rPr>
          <w:rFonts w:ascii="Arial" w:hAnsi="Arial"/>
          <w:sz w:val="24"/>
        </w:rPr>
        <w:t xml:space="preserve">, e o conceito de </w:t>
      </w:r>
      <w:r>
        <w:rPr>
          <w:rFonts w:ascii="Arial" w:hAnsi="Arial"/>
          <w:i/>
          <w:sz w:val="24"/>
        </w:rPr>
        <w:t>Learning Agility</w:t>
      </w:r>
      <w:r>
        <w:rPr>
          <w:rFonts w:ascii="Arial" w:hAnsi="Arial"/>
          <w:sz w:val="24"/>
        </w:rPr>
        <w:t xml:space="preserve"> de Lombardo e Eichinger (2000), que seriam especialmente úteis num momento de transição em que a capacidade de aprender em contextos novos importa mais do que a entrega passada. Sem segurança psicológica para expressar preocupações durante a integração, os colaboradores percebem a avaliação como injusta, o que impacta diretamente o pilar </w:t>
      </w:r>
      <w:r>
        <w:rPr>
          <w:rFonts w:ascii="Arial" w:hAnsi="Arial"/>
          <w:i/>
          <w:sz w:val="24"/>
        </w:rPr>
        <w:t>Strive</w:t>
      </w:r>
      <w:r>
        <w:rPr>
          <w:rFonts w:ascii="Arial" w:hAnsi="Arial"/>
          <w:sz w:val="24"/>
        </w:rPr>
        <w:t>.</w:t>
      </w:r>
    </w:p>
    <w:p w14:paraId="6BAF4F74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187EE9AF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4.3 Treinamento e Desenvolvimento: Sustentação para a Escala</w:t>
      </w:r>
    </w:p>
    <w:p w14:paraId="57D79DD0" w14:textId="6CE6B523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A empresa falhou ao não mensurar o impacto das ações de desenvolvimento conduzidas durante a transição. A Aula 5 oferece exatamente o vocabulário que faltou nesse ponto: o modelo de quatro níveis de Kirkpatrick (1975) e o ROI de Phillips permitem avaliar se o treinamento gerou reação, aprendizado, mudança de comportamento e resultado, em vez de tratar a capacitação como despesa sem retorno verificável. O aumento na escala de projetos exigia um desenvolvimento de lideranças ancorado na Andragogia, em Knowles (1975), com sua premissa de aprendizagem autodirigida, e em Kolb (1984), com a aprendizagem pela experiência, capacitando gestores a conduzir equipes maiores sem perder a proximidade. A ausência de programas de Mentoria, também tratada na Aula 5, para preservar o conhecimento cultural da Poatek durante a transição impediu que a nova cultura fosse absorvida de forma orgânica, resultando em um vácuo de competências comportamentais.</w:t>
      </w:r>
    </w:p>
    <w:p w14:paraId="61BECD44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05CE1A18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spellEnd"/>
      <w:r>
        <w:rPr>
          <w:rFonts w:ascii="Arial" w:hAnsi="Arial"/>
          <w:sz w:val="24"/>
        </w:rPr>
        <w:t xml:space="preserve">4.4 Atração e Seleção: Impacto no </w:t>
      </w:r>
      <w:r>
        <w:rPr>
          <w:rFonts w:ascii="Arial" w:hAnsi="Arial"/>
          <w:i/>
          <w:sz w:val="24"/>
        </w:rPr>
        <w:t>Employer Branding</w:t>
      </w:r>
      <w:r>
        <w:rPr>
          <w:rFonts w:ascii="Arial" w:hAnsi="Arial"/>
          <w:sz w:val="24"/>
        </w:rPr>
        <w:t xml:space="preserve"> e EVP</w:t>
      </w:r>
    </w:p>
    <w:p w14:paraId="4ECBC2EA" w14:textId="374BBAF1" w:rsidR="003464ED" w:rsidRPr="00FB3CCD" w:rsidRDefault="00A143BA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As sucessivas incorporações fragilizaram aquilo que a Aula 3 denomina os Atrativos da Empresa, conceito de Richard L. Daft que organiza o que torna uma organização desejável para o talento, e que no vocabulário de mercado se aproxima da Proposta de Valor ao Empregado (EVP) e do </w:t>
      </w:r>
      <w:r>
        <w:rPr>
          <w:rFonts w:ascii="Arial" w:hAnsi="Arial"/>
          <w:i/>
          <w:sz w:val="24"/>
        </w:rPr>
        <w:t>Employer Branding</w:t>
      </w:r>
      <w:r>
        <w:rPr>
          <w:rFonts w:ascii="Arial" w:hAnsi="Arial"/>
          <w:sz w:val="24"/>
        </w:rPr>
        <w:t xml:space="preserve">. O que antes era oferecido como uma experiência de </w:t>
      </w:r>
      <w:r>
        <w:rPr>
          <w:rFonts w:ascii="Arial" w:hAnsi="Arial"/>
          <w:i/>
          <w:sz w:val="24"/>
        </w:rPr>
        <w:t>boutique</w:t>
      </w:r>
      <w:r>
        <w:rPr>
          <w:rFonts w:ascii="Arial" w:hAnsi="Arial"/>
          <w:sz w:val="24"/>
        </w:rPr>
        <w:t xml:space="preserve"> tornou-se uma operação de escala. À luz da tipologia de estratégias de recrutamento de Windolf (1986), se a Atração e Seleção não for realinhada para refletir a nova realidade, a empresa continuará atraindo perfis que buscam uma cultura que não existe mais, alimentando o ciclo de </w:t>
      </w:r>
      <w:r>
        <w:rPr>
          <w:rFonts w:ascii="Arial" w:hAnsi="Arial"/>
          <w:i/>
          <w:sz w:val="24"/>
        </w:rPr>
        <w:t>turnover</w:t>
      </w:r>
      <w:r>
        <w:rPr>
          <w:rFonts w:ascii="Arial" w:hAnsi="Arial"/>
          <w:sz w:val="24"/>
        </w:rPr>
        <w:t>, porque a promessa da marca empregadora deixou de condizer com a experiência real do colaborador no pós-M&amp;A.</w:t>
      </w:r>
    </w:p>
    <w:p w14:paraId="076E85AB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107E137F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4.5 Cultura Organizacional: A Diluição da Identidade Pós-Aquisição</w:t>
      </w:r>
    </w:p>
    <w:p w14:paraId="4FBEB079" w14:textId="77777777" w:rsidR="003464ED" w:rsidRPr="00FB3CCD" w:rsidRDefault="00A143BA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A tese de diluição da identidade cultural ganha lastro na Aula 2, que trata cultura organizacional no sentido de Schein, com seus três níveis de artefatos, valores e pressupostos básicos, na leitura trazida por Fleury. A erosão observada na operação não é apenas perda de clima: é o desgaste da camada mais profunda de pressupostos compartilhados que a Poatek havia construído, substituída por uma identidade corporativa global que ainda não foi internalizada como própria. Quando os artefatos visíveis mudam, marca, sistemas e ritos, sem que os valores e pressupostos sejam reconstruídos com o time, a cultura deixa de ser motor e passa a ser fonte de estranhamento. É essa leitura, e não apenas o indicador de engajamento, que explica por que a confiança institucional caiu enquanto a confiança no time imediato permaneceu intacta.</w:t>
      </w:r>
    </w:p>
    <w:p w14:paraId="6184FAC8" w14:textId="77777777" w:rsidR="00B04C4D" w:rsidRPr="00FB3CCD" w:rsidRDefault="00B04C4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4595A8EB" w14:textId="77777777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4.6 Competências Organizacionais e Individuais: o Descompasso entre Boutique e Escala</w:t>
      </w:r>
    </w:p>
    <w:p w14:paraId="197E062E" w14:textId="4D174D3D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A Aula 2 oferece o segundo eixo de leitura deste caso. No sentido de Prahalad e Hamel, as competências organizacionais, ou </w:t>
      </w:r>
      <w:r>
        <w:rPr>
          <w:rFonts w:ascii="Arial" w:hAnsi="Arial"/>
          <w:i/>
          <w:sz w:val="24"/>
        </w:rPr>
        <w:t>core competences</w:t>
      </w:r>
      <w:r>
        <w:rPr>
          <w:rFonts w:ascii="Arial" w:hAnsi="Arial"/>
          <w:sz w:val="24"/>
        </w:rPr>
        <w:t xml:space="preserve">, são as raízes que sustentam a vantagem competitiva de uma organização. As competências distintivas que deram nome à Poatek eram a excelência em produto digital e a intimidade consultiva com o cliente, uma relação próxima em que se entendia o negócio do cliente a fundo. Essas raízes, porém, não foram cultivadas como ativo estratégico na transição. O foco deslocou-se para o negócio e para a escala: a paixão pelo </w:t>
      </w:r>
      <w:r>
        <w:rPr>
          <w:rFonts w:ascii="Arial" w:hAnsi="Arial"/>
          <w:i/>
          <w:sz w:val="24"/>
        </w:rPr>
        <w:t>craft</w:t>
      </w:r>
      <w:r>
        <w:rPr>
          <w:rFonts w:ascii="Arial" w:hAnsi="Arial"/>
          <w:sz w:val="24"/>
        </w:rPr>
        <w:t xml:space="preserve"> e a cultura de proximidade e conforto deram lugar a um jogo corporativo de atendimento a clientes muito maiores e sob muito mais pressão. Em termos de Prahalad e Hamel, uma core competence que deixa de ser reconhecida e nutrida tende a ser tratada como commodity e a se diluir, que é exatamente o risco que a operação corre.</w:t>
      </w:r>
    </w:p>
    <w:p w14:paraId="12BFDF24" w14:textId="7D01B196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No nível individual, na leitura do caso da Fleury e na noção de competência de Zarifian, entende competência como a mobilização de conhecimentos e capacidades em ação, gerando valor reconhecido. A escala redefiniu o que se espera dessa entrega. O perfil da </w:t>
      </w:r>
      <w:r>
        <w:rPr>
          <w:rFonts w:ascii="Arial" w:hAnsi="Arial"/>
          <w:i/>
          <w:sz w:val="24"/>
        </w:rPr>
        <w:t>boutique</w:t>
      </w:r>
      <w:r>
        <w:rPr>
          <w:rFonts w:ascii="Arial" w:hAnsi="Arial"/>
          <w:sz w:val="24"/>
        </w:rPr>
        <w:t xml:space="preserve">, centrado no </w:t>
      </w:r>
      <w:r>
        <w:rPr>
          <w:rFonts w:ascii="Arial" w:hAnsi="Arial"/>
          <w:i/>
          <w:sz w:val="24"/>
        </w:rPr>
        <w:t>craft</w:t>
      </w:r>
      <w:r>
        <w:rPr>
          <w:rFonts w:ascii="Arial" w:hAnsi="Arial"/>
          <w:sz w:val="24"/>
        </w:rPr>
        <w:t xml:space="preserve"> técnico e na proximidade, passou a exigir competências antes secundárias: gestão de </w:t>
      </w:r>
      <w:r>
        <w:rPr>
          <w:rFonts w:ascii="Arial" w:hAnsi="Arial"/>
          <w:i/>
          <w:sz w:val="24"/>
        </w:rPr>
        <w:t>stakeholders</w:t>
      </w:r>
      <w:r>
        <w:rPr>
          <w:rFonts w:ascii="Arial" w:hAnsi="Arial"/>
          <w:sz w:val="24"/>
        </w:rPr>
        <w:t xml:space="preserve"> sêniores e globais, domínio do negócio e da indústria do cliente para além da técnica, e comunicação e influência em um contexto multinacional, mais hierárquico e multilíngue. Esse descompasso entre o repertório individual herdado e o que a operação em escala demanda é uma das raízes concretas da queda de </w:t>
      </w:r>
      <w:r>
        <w:rPr>
          <w:rFonts w:ascii="Arial" w:hAnsi="Arial"/>
          <w:i/>
          <w:sz w:val="24"/>
        </w:rPr>
        <w:t>Strive</w:t>
      </w:r>
      <w:r>
        <w:rPr>
          <w:rFonts w:ascii="Arial" w:hAnsi="Arial"/>
          <w:sz w:val="24"/>
        </w:rPr>
        <w:t xml:space="preserve"> e da insegurança institucional. O quadro é agravado pela ausência de um mapeamento formal: o modelo de competências e níveis está em construção, e esse vácuo deixa o colaborador sem clareza sobre o que se espera dele em cada nível, conectando o problema de competências ao de carreira já discutido em 4.1.</w:t>
      </w:r>
    </w:p>
    <w:p w14:paraId="7A016DAF" w14:textId="77777777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5. SUGESTÃO DE SOLUÇÃO DO PROBLEMA CENTRAL</w:t>
      </w:r>
    </w:p>
    <w:p w14:paraId="23D9DB3F" w14:textId="180C89A9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proofErr w:type="spellStart"/>
      <w:proofErr w:type="spellEnd"/>
      <w:r>
        <w:rPr>
          <w:rFonts w:ascii="Arial" w:hAnsi="Arial"/>
          <w:sz w:val="24"/>
        </w:rPr>
        <w:t xml:space="preserve">Para estabilizar o ambiente e recuperar os scores de </w:t>
      </w:r>
      <w:r>
        <w:rPr>
          <w:rFonts w:ascii="Arial" w:hAnsi="Arial"/>
          <w:i/>
          <w:sz w:val="24"/>
        </w:rPr>
        <w:t>Say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i/>
          <w:sz w:val="24"/>
        </w:rPr>
        <w:t>Stay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Strive</w:t>
      </w:r>
      <w:r>
        <w:rPr>
          <w:rFonts w:ascii="Arial" w:hAnsi="Arial"/>
          <w:sz w:val="24"/>
        </w:rPr>
        <w:t>, propõe-se um Plano de Sustentação do Capital Humano focado em:</w:t>
      </w:r>
    </w:p>
    <w:p w14:paraId="1CBDBABD" w14:textId="77777777" w:rsidR="00AE289D" w:rsidRPr="00FB3CCD" w:rsidRDefault="00AE289D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47BCB08A" w14:textId="2C87BED1" w:rsidR="00A143BA" w:rsidRPr="00FB3CCD" w:rsidRDefault="00000000" w:rsidP="00A143BA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</w:t>
      </w:r>
      <w:r w:rsidR="00A143BA" w:rsidRPr="00FB3CCD">
        <w:rPr>
          <w:rFonts w:ascii="Arial" w:hAnsi="Arial" w:cs="Arial"/>
          <w:sz w:val="24"/>
          <w:szCs w:val="24"/>
        </w:rPr>
        <w:t>1</w:t>
      </w:r>
      <w:r w:rsidRPr="00FB3CCD">
        <w:rPr>
          <w:rFonts w:ascii="Arial" w:hAnsi="Arial" w:cs="Arial"/>
          <w:sz w:val="24"/>
          <w:szCs w:val="24"/>
        </w:rPr>
        <w:t xml:space="preserve"> </w:t>
      </w:r>
      <w:r w:rsidR="00A143BA" w:rsidRPr="00FB3CCD">
        <w:rPr>
          <w:rFonts w:ascii="Arial" w:hAnsi="Arial" w:cs="Arial"/>
          <w:sz w:val="24"/>
          <w:szCs w:val="24"/>
        </w:rPr>
        <w:t>Capacitar para a nova escala</w:t>
      </w:r>
    </w:p>
    <w:p w14:paraId="140EF38B" w14:textId="0659A1C5" w:rsidR="000D63DB" w:rsidRPr="00FB3CCD" w:rsidRDefault="00A143BA" w:rsidP="00A143BA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O plano de carreira (Y) já existe. O que falta é preparo para operar em escala, e não em </w:t>
      </w:r>
      <w:r>
        <w:rPr>
          <w:rFonts w:ascii="Arial" w:hAnsi="Arial"/>
          <w:i/>
          <w:sz w:val="24"/>
        </w:rPr>
        <w:t>boutique</w:t>
      </w:r>
      <w:r>
        <w:rPr>
          <w:rFonts w:ascii="Arial" w:hAnsi="Arial"/>
          <w:sz w:val="24"/>
        </w:rPr>
        <w:t xml:space="preserve">: decisões de maior peso, </w:t>
      </w:r>
      <w:r>
        <w:rPr>
          <w:rFonts w:ascii="Arial" w:hAnsi="Arial"/>
          <w:i/>
          <w:sz w:val="24"/>
        </w:rPr>
        <w:t>stakeholders</w:t>
      </w:r>
      <w:r>
        <w:rPr>
          <w:rFonts w:ascii="Arial" w:hAnsi="Arial"/>
          <w:sz w:val="24"/>
        </w:rPr>
        <w:t xml:space="preserve"> mais sêniores e outra forma de trabalhar. A frente combina treinamento, andragogia e mentoria de liderança, com mensuração de impacto pelos níveis de Kirkpatrick. Meta proposta, a calibrar com a liderança: capacitar </w:t>
      </w:r>
      <w:r>
        <w:rPr>
          <w:rFonts w:ascii="Arial" w:hAnsi="Arial"/>
          <w:b/>
          <w:sz w:val="24"/>
        </w:rPr>
        <w:t>100% dos gestores</w:t>
      </w:r>
      <w:r>
        <w:rPr>
          <w:rFonts w:ascii="Arial" w:hAnsi="Arial"/>
          <w:sz w:val="24"/>
        </w:rPr>
        <w:t xml:space="preserve"> da operação em um programa de liderança em escala </w:t>
      </w:r>
      <w:r>
        <w:rPr>
          <w:rFonts w:ascii="Arial" w:hAnsi="Arial"/>
          <w:b/>
          <w:sz w:val="24"/>
        </w:rPr>
        <w:t>dentro de 6 meses</w:t>
      </w:r>
      <w:r>
        <w:rPr>
          <w:rFonts w:ascii="Arial" w:hAnsi="Arial"/>
          <w:sz w:val="24"/>
        </w:rPr>
        <w:t xml:space="preserve"> e elevar o item </w:t>
      </w:r>
      <w:r>
        <w:rPr>
          <w:rFonts w:ascii="Arial" w:hAnsi="Arial"/>
          <w:i/>
          <w:sz w:val="24"/>
        </w:rPr>
        <w:t>Strive</w:t>
      </w:r>
      <w:r>
        <w:rPr>
          <w:rFonts w:ascii="Arial" w:hAnsi="Arial"/>
          <w:sz w:val="24"/>
        </w:rPr>
        <w:t xml:space="preserve">, hoje em 30%, </w:t>
      </w:r>
      <w:r>
        <w:rPr>
          <w:rFonts w:ascii="Arial" w:hAnsi="Arial"/>
          <w:b/>
          <w:sz w:val="24"/>
        </w:rPr>
        <w:t>rumo a 50% em 12 meses</w:t>
      </w:r>
      <w:r>
        <w:rPr>
          <w:rFonts w:ascii="Arial" w:hAnsi="Arial"/>
          <w:sz w:val="24"/>
        </w:rPr>
        <w:t>.</w:t>
      </w:r>
    </w:p>
    <w:p w14:paraId="06EFB3BC" w14:textId="77777777" w:rsidR="000D63DB" w:rsidRPr="00FB3CCD" w:rsidRDefault="000D63DB" w:rsidP="00A143BA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07048F86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5.2 Proteger o que funciona</w:t>
      </w:r>
    </w:p>
    <w:p w14:paraId="7F0C9ACA" w14:textId="5502AEA4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A confiança no gestor, em 100%, e a cultura de colaboração, com colegas que se respeitam em 100%, são os </w:t>
      </w:r>
      <w:r>
        <w:rPr>
          <w:rFonts w:ascii="Arial" w:hAnsi="Arial"/>
          <w:b/>
          <w:sz w:val="24"/>
        </w:rPr>
        <w:t>ativos mais fortes do diagnóstico</w:t>
      </w:r>
      <w:r>
        <w:rPr>
          <w:rFonts w:ascii="Arial" w:hAnsi="Arial"/>
          <w:sz w:val="24"/>
        </w:rPr>
        <w:t xml:space="preserve"> e a fundação sobre a qual o restante se reconstrói. É preciso reconhecê-los, dar visibilidade e usá-los como alavanca, sem tratá-los como garantidos. Meta proposta: preservar esses dois indicadores </w:t>
      </w:r>
      <w:r>
        <w:rPr>
          <w:rFonts w:ascii="Arial" w:hAnsi="Arial"/>
          <w:b/>
          <w:sz w:val="24"/>
        </w:rPr>
        <w:t>acima de 90%</w:t>
      </w:r>
      <w:r>
        <w:rPr>
          <w:rFonts w:ascii="Arial" w:hAnsi="Arial"/>
          <w:sz w:val="24"/>
        </w:rPr>
        <w:t xml:space="preserve"> nas próximas ondas do </w:t>
      </w:r>
      <w:r>
        <w:rPr>
          <w:rFonts w:ascii="Arial" w:hAnsi="Arial"/>
          <w:i/>
          <w:sz w:val="24"/>
        </w:rPr>
        <w:t>Pulsecheck</w:t>
      </w:r>
      <w:r>
        <w:rPr>
          <w:rFonts w:ascii="Arial" w:hAnsi="Arial"/>
          <w:sz w:val="24"/>
        </w:rPr>
        <w:t>, tratando qualquer queda como sinal de alerta prioritário.</w:t>
      </w:r>
    </w:p>
    <w:p w14:paraId="0266755D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37BBE94B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5.3 Segurança psicológica primeiro</w:t>
      </w:r>
    </w:p>
    <w:p w14:paraId="4F7C3167" w14:textId="3EF1ABFA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A segurança psicológica é a </w:t>
      </w:r>
      <w:r>
        <w:rPr>
          <w:rFonts w:ascii="Arial" w:hAnsi="Arial"/>
          <w:b/>
          <w:sz w:val="24"/>
        </w:rPr>
        <w:t>prioridade número um</w:t>
      </w:r>
      <w:r>
        <w:rPr>
          <w:rFonts w:ascii="Arial" w:hAnsi="Arial"/>
          <w:sz w:val="24"/>
        </w:rPr>
        <w:t xml:space="preserve">, mas exige ação de quem tem poder: lideranças modelando vulnerabilidade e respondendo bem à discordância, e não apenas discurso de fale à vontade. Como o desconforto se concentra nas reuniões maiores e na escalada de questões para a vice-presidência e as lideranças globais, a ação precisa criar canais seguros nessa instância. Meta proposta: elevar o item é seguro me posicionar sem medo, hoje em 30% e pior item da pesquisa, </w:t>
      </w:r>
      <w:r>
        <w:rPr>
          <w:rFonts w:ascii="Arial" w:hAnsi="Arial"/>
          <w:b/>
          <w:sz w:val="24"/>
        </w:rPr>
        <w:t>para 55% em 12 meses e para 70% em 18 meses</w:t>
      </w:r>
      <w:r>
        <w:rPr>
          <w:rFonts w:ascii="Arial" w:hAnsi="Arial"/>
          <w:sz w:val="24"/>
        </w:rPr>
        <w:t>.</w:t>
      </w:r>
    </w:p>
    <w:p w14:paraId="5EC489A7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5A505FB3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5.4 Perfil, contratação e saída</w:t>
      </w:r>
    </w:p>
    <w:p w14:paraId="5306D653" w14:textId="58744332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Realinhar a Proposta de Valor ao Empregado e o perfil que o recrutamento busca à realidade de uma empresa de escala, à luz dos Atrativos da Empresa de Daft, preparar o RH para um </w:t>
      </w:r>
      <w:r>
        <w:rPr>
          <w:rFonts w:ascii="Arial" w:hAnsi="Arial"/>
          <w:i/>
          <w:sz w:val="24"/>
        </w:rPr>
        <w:t>turnover</w:t>
      </w:r>
      <w:r>
        <w:rPr>
          <w:rFonts w:ascii="Arial" w:hAnsi="Arial"/>
          <w:sz w:val="24"/>
        </w:rPr>
        <w:t xml:space="preserve"> possivelmente mais alto e investir em </w:t>
      </w:r>
      <w:r>
        <w:rPr>
          <w:rFonts w:ascii="Arial" w:hAnsi="Arial"/>
          <w:i/>
          <w:sz w:val="24"/>
        </w:rPr>
        <w:t>offboarding</w:t>
      </w:r>
      <w:r>
        <w:rPr>
          <w:rFonts w:ascii="Arial" w:hAnsi="Arial"/>
          <w:sz w:val="24"/>
        </w:rPr>
        <w:t xml:space="preserve"> humanizado. </w:t>
      </w:r>
      <w:r>
        <w:rPr>
          <w:rFonts w:ascii="Arial" w:hAnsi="Arial"/>
          <w:b/>
          <w:sz w:val="24"/>
        </w:rPr>
        <w:t>Nem toda saída é falha</w:t>
      </w:r>
      <w:r>
        <w:rPr>
          <w:rFonts w:ascii="Arial" w:hAnsi="Arial"/>
          <w:sz w:val="24"/>
        </w:rPr>
        <w:t xml:space="preserve">: parte é reajuste de perfil próprio da transição de </w:t>
      </w:r>
      <w:r>
        <w:rPr>
          <w:rFonts w:ascii="Arial" w:hAnsi="Arial"/>
          <w:i/>
          <w:sz w:val="24"/>
        </w:rPr>
        <w:t>boutique</w:t>
      </w:r>
      <w:r>
        <w:rPr>
          <w:rFonts w:ascii="Arial" w:hAnsi="Arial"/>
          <w:sz w:val="24"/>
        </w:rPr>
        <w:t xml:space="preserve"> para escala, e distinguir os dois tipos de saída é parte da gestão. Meta proposta: instrumentar a medição de </w:t>
      </w:r>
      <w:r>
        <w:rPr>
          <w:rFonts w:ascii="Arial" w:hAnsi="Arial"/>
          <w:i/>
          <w:sz w:val="24"/>
        </w:rPr>
        <w:t>turnover</w:t>
      </w:r>
      <w:r>
        <w:rPr>
          <w:rFonts w:ascii="Arial" w:hAnsi="Arial"/>
          <w:sz w:val="24"/>
        </w:rPr>
        <w:t xml:space="preserve"> para separar saída evitável de reajuste de transição </w:t>
      </w:r>
      <w:r>
        <w:rPr>
          <w:rFonts w:ascii="Arial" w:hAnsi="Arial"/>
          <w:b/>
          <w:sz w:val="24"/>
        </w:rPr>
        <w:t>em 3 meses</w:t>
      </w:r>
      <w:r>
        <w:rPr>
          <w:rFonts w:ascii="Arial" w:hAnsi="Arial"/>
          <w:sz w:val="24"/>
        </w:rPr>
        <w:t xml:space="preserve"> e recuperar a intenção de permanência (</w:t>
      </w:r>
      <w:r>
        <w:rPr>
          <w:rFonts w:ascii="Arial" w:hAnsi="Arial"/>
          <w:i/>
          <w:sz w:val="24"/>
        </w:rPr>
        <w:t>Stay</w:t>
      </w:r>
      <w:r>
        <w:rPr>
          <w:rFonts w:ascii="Arial" w:hAnsi="Arial"/>
          <w:sz w:val="24"/>
        </w:rPr>
        <w:t xml:space="preserve">), hoje em 25%, </w:t>
      </w:r>
      <w:r>
        <w:rPr>
          <w:rFonts w:ascii="Arial" w:hAnsi="Arial"/>
          <w:b/>
          <w:sz w:val="24"/>
        </w:rPr>
        <w:t>rumo a 45% em 12 meses</w:t>
      </w:r>
      <w:r>
        <w:rPr>
          <w:rFonts w:ascii="Arial" w:hAnsi="Arial"/>
          <w:sz w:val="24"/>
        </w:rPr>
        <w:t>.</w:t>
      </w:r>
    </w:p>
    <w:p w14:paraId="042C92AD" w14:textId="77777777" w:rsidR="000D63DB" w:rsidRPr="00FB3CCD" w:rsidRDefault="000D63DB" w:rsidP="000D63DB">
      <w:pPr>
        <w:spacing w:before="60" w:line="360" w:lineRule="auto"/>
        <w:rPr>
          <w:rFonts w:ascii="Arial" w:hAnsi="Arial" w:cs="Arial"/>
          <w:sz w:val="24"/>
          <w:szCs w:val="24"/>
        </w:rPr>
      </w:pPr>
    </w:p>
    <w:p w14:paraId="20C09772" w14:textId="3FFDBFF8" w:rsidR="003464ED" w:rsidRPr="00FB3CCD" w:rsidRDefault="00000000" w:rsidP="00B57BE7">
      <w:pPr>
        <w:spacing w:line="360" w:lineRule="auto"/>
        <w:rPr>
          <w:rFonts w:ascii="Arial" w:hAnsi="Arial" w:cs="Arial"/>
          <w:sz w:val="24"/>
          <w:szCs w:val="24"/>
        </w:rPr>
      </w:pPr>
      <w:r w:rsidRPr="00FB3CCD">
        <w:rPr>
          <w:rFonts w:ascii="Arial" w:hAnsi="Arial" w:cs="Arial"/>
          <w:sz w:val="24"/>
          <w:szCs w:val="24"/>
        </w:rPr>
        <w:t>5.</w:t>
      </w:r>
      <w:r w:rsidR="000D63DB" w:rsidRPr="00FB3CCD">
        <w:rPr>
          <w:rFonts w:ascii="Arial" w:hAnsi="Arial" w:cs="Arial"/>
          <w:sz w:val="24"/>
          <w:szCs w:val="24"/>
        </w:rPr>
        <w:t>5</w:t>
      </w:r>
      <w:r w:rsidRPr="00FB3CCD">
        <w:rPr>
          <w:rFonts w:ascii="Arial" w:hAnsi="Arial" w:cs="Arial"/>
          <w:sz w:val="24"/>
          <w:szCs w:val="24"/>
        </w:rPr>
        <w:t xml:space="preserve"> Recuperação dos Indicadores de Engajamento</w:t>
      </w:r>
    </w:p>
    <w:p w14:paraId="177EBF8B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Esta frente consolida as metas anteriores em uma ofensiva de recuperação do contrato psicológico, ancorada nos próprios indicadores do </w:t>
      </w:r>
      <w:r>
        <w:rPr>
          <w:rFonts w:ascii="Arial" w:hAnsi="Arial"/>
          <w:i/>
          <w:sz w:val="24"/>
        </w:rPr>
        <w:t>Pulsecheck</w:t>
      </w:r>
      <w:r>
        <w:rPr>
          <w:rFonts w:ascii="Arial" w:hAnsi="Arial"/>
          <w:sz w:val="24"/>
        </w:rPr>
        <w:t xml:space="preserve"> e faseada no tempo. Os números a seguir são propostas a calibrar com a liderança e com a realidade de cada escritório, não compromissos rígidos.</w:t>
      </w:r>
    </w:p>
    <w:p w14:paraId="65E0260B" w14:textId="77777777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Em síntese, propõem-se as seguintes metas, a verificar em ondas semestrais da pesquisa: recuperar o engajamento geral </w:t>
      </w:r>
      <w:r>
        <w:rPr>
          <w:rFonts w:ascii="Arial" w:hAnsi="Arial"/>
          <w:b/>
          <w:sz w:val="24"/>
        </w:rPr>
        <w:t>dos atuais 40 pontos rumo à meta de 80</w:t>
      </w:r>
      <w:r>
        <w:rPr>
          <w:rFonts w:ascii="Arial" w:hAnsi="Arial"/>
          <w:sz w:val="24"/>
        </w:rPr>
        <w:t xml:space="preserve"> do </w:t>
      </w:r>
      <w:r>
        <w:rPr>
          <w:rFonts w:ascii="Arial" w:hAnsi="Arial"/>
          <w:i/>
          <w:sz w:val="24"/>
        </w:rPr>
        <w:t>Scorecard</w:t>
      </w:r>
      <w:r>
        <w:rPr>
          <w:rFonts w:ascii="Arial" w:hAnsi="Arial"/>
          <w:sz w:val="24"/>
        </w:rPr>
        <w:t xml:space="preserve"> 2025, com marco intermediário de </w:t>
      </w:r>
      <w:r>
        <w:rPr>
          <w:rFonts w:ascii="Arial" w:hAnsi="Arial"/>
          <w:b/>
          <w:sz w:val="24"/>
        </w:rPr>
        <w:t>60 pontos em 12 meses</w:t>
      </w:r>
      <w:r>
        <w:rPr>
          <w:rFonts w:ascii="Arial" w:hAnsi="Arial"/>
          <w:sz w:val="24"/>
        </w:rPr>
        <w:t xml:space="preserve">, saindo do quartil inferior do </w:t>
      </w:r>
      <w:r>
        <w:rPr>
          <w:rFonts w:ascii="Arial" w:hAnsi="Arial"/>
          <w:i/>
          <w:sz w:val="24"/>
        </w:rPr>
        <w:t>benchmark</w:t>
      </w:r>
      <w:r>
        <w:rPr>
          <w:rFonts w:ascii="Arial" w:hAnsi="Arial"/>
          <w:sz w:val="24"/>
        </w:rPr>
        <w:t xml:space="preserve">; elevar é seguro me posicionar de 30% para 55% em 12 meses; recuperar </w:t>
      </w:r>
      <w:r>
        <w:rPr>
          <w:rFonts w:ascii="Arial" w:hAnsi="Arial"/>
          <w:i/>
          <w:sz w:val="24"/>
        </w:rPr>
        <w:t>Stay</w:t>
      </w:r>
      <w:r>
        <w:rPr>
          <w:rFonts w:ascii="Arial" w:hAnsi="Arial"/>
          <w:sz w:val="24"/>
        </w:rPr>
        <w:t xml:space="preserve"> de 25% para 45% e </w:t>
      </w:r>
      <w:r>
        <w:rPr>
          <w:rFonts w:ascii="Arial" w:hAnsi="Arial"/>
          <w:i/>
          <w:sz w:val="24"/>
        </w:rPr>
        <w:t>Strive</w:t>
      </w:r>
      <w:r>
        <w:rPr>
          <w:rFonts w:ascii="Arial" w:hAnsi="Arial"/>
          <w:sz w:val="24"/>
        </w:rPr>
        <w:t xml:space="preserve"> de 30% para 50% no mesmo período; e preservar apoio do gestor e respeito entre colegas acima de 90%. Cada meta deve ser lida com atenção à heterogeneidade regional, já que Porto Alegre, São Paulo, Buenos Aires e a Cidade da Guatemala partem de pontos distintos.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3464ED" w:rsidRPr="00FB3CCD" w14:paraId="1F0506D1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86E3C7" w14:textId="77777777" w:rsidR="003464ED" w:rsidRPr="00FB3CCD" w:rsidRDefault="00000000" w:rsidP="00B57BE7">
            <w:pPr>
              <w:spacing w:before="80" w:after="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Ação Estratégica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DD308B" w14:textId="77777777" w:rsidR="003464ED" w:rsidRPr="00FB3CCD" w:rsidRDefault="00000000" w:rsidP="00B57BE7">
            <w:pPr>
              <w:spacing w:before="80" w:after="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Pilar GEP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19C2A06" w14:textId="77777777" w:rsidR="003464ED" w:rsidRPr="00FB3CCD" w:rsidRDefault="00000000" w:rsidP="00B57BE7">
            <w:pPr>
              <w:spacing w:before="80" w:after="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Impacto no Engajamento</w:t>
            </w:r>
          </w:p>
        </w:tc>
      </w:tr>
      <w:tr w:rsidR="003464ED" w:rsidRPr="00FB3CCD" w14:paraId="5A90CF65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E34337" w14:textId="77777777" w:rsidR="003464ED" w:rsidRPr="00FB3CCD" w:rsidRDefault="00000000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Programa de Escuta Ativa e Town Halls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964CCE" w14:textId="77777777" w:rsidR="003464ED" w:rsidRPr="00FB3CCD" w:rsidRDefault="00000000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Gestão de Mudanças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0D3AAE" w14:textId="77777777" w:rsidR="003464ED" w:rsidRPr="00FB3CCD" w:rsidRDefault="00000000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Recuperação do Say (Transparência)</w:t>
            </w:r>
          </w:p>
        </w:tc>
      </w:tr>
      <w:tr w:rsidR="000D63DB" w:rsidRPr="00FB3CCD" w14:paraId="0FDBC022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7139A6" w14:textId="16FB146B" w:rsidR="000D63DB" w:rsidRPr="00FB3CCD" w:rsidRDefault="000D63DB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Mentoria de Liderança para Gestão de Escala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BD549F" w14:textId="0FA94D5E" w:rsidR="000D63DB" w:rsidRPr="00FB3CCD" w:rsidRDefault="000D63DB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T&amp;D / Andragogia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641DE6" w14:textId="29AD4F1C" w:rsidR="000D63DB" w:rsidRPr="00FB3CCD" w:rsidRDefault="000D63DB" w:rsidP="00B57BE7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</w:rPr>
            </w:pPr>
            <w:r w:rsidRPr="00FB3CCD">
              <w:rPr>
                <w:rFonts w:ascii="Arial" w:hAnsi="Arial" w:cs="Arial"/>
                <w:sz w:val="24"/>
                <w:szCs w:val="24"/>
              </w:rPr>
              <w:t>Estabilização do ambiente operacional</w:t>
            </w:r>
          </w:p>
        </w:tc>
      </w:tr>
    </w:tbl>
    <w:p w14:paraId="51C96E36" w14:textId="77777777" w:rsidR="00B04C4D" w:rsidRPr="00FB3CCD" w:rsidRDefault="00B04C4D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</w:p>
    <w:p w14:paraId="04B6EBCD" w14:textId="360AA785" w:rsidR="003464ED" w:rsidRPr="00FB3CCD" w:rsidRDefault="00000000" w:rsidP="00B57BE7">
      <w:pPr>
        <w:pStyle w:val="Heading3"/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FB3CCD">
        <w:rPr>
          <w:rFonts w:ascii="Arial" w:hAnsi="Arial" w:cs="Arial"/>
          <w:b w:val="0"/>
          <w:bCs w:val="0"/>
          <w:sz w:val="24"/>
          <w:szCs w:val="24"/>
        </w:rPr>
        <w:t>CONCLUSÃO</w:t>
      </w:r>
    </w:p>
    <w:p w14:paraId="19E04390" w14:textId="28E69B44" w:rsidR="003464ED" w:rsidRPr="00FB3CCD" w:rsidRDefault="00000000" w:rsidP="00B57BE7">
      <w:pPr>
        <w:spacing w:before="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A crise na operação de Design da América Latina da TELUS Digital é um desafio de Gente e Gestão típico de organizações que escalam rapidamente via aquisições. A solução não reside em métricas financeiras, que seguem saudáveis, mas na reconstrução do contrato psicológico com a instituição e na valorização do capital humano. A fundação mais difícil de construir, </w:t>
      </w:r>
      <w:r>
        <w:rPr>
          <w:rFonts w:ascii="Arial" w:hAnsi="Arial"/>
          <w:b/>
          <w:sz w:val="24"/>
        </w:rPr>
        <w:t>a confiança com gestor e pares, segue de pé</w:t>
      </w:r>
      <w:r>
        <w:rPr>
          <w:rFonts w:ascii="Arial" w:hAnsi="Arial"/>
          <w:sz w:val="24"/>
        </w:rPr>
        <w:t xml:space="preserve">, e é a partir dela que se reconstrói o restante. Ao preservar a identidade profissional, dar clareza de carreira e apoiar as lideranças a gerir a nova escala, com metas verificáveis nos indicadores do </w:t>
      </w:r>
      <w:r>
        <w:rPr>
          <w:rFonts w:ascii="Arial" w:hAnsi="Arial"/>
          <w:i/>
          <w:sz w:val="24"/>
        </w:rPr>
        <w:t>Pulsecheck</w:t>
      </w:r>
      <w:r>
        <w:rPr>
          <w:rFonts w:ascii="Arial" w:hAnsi="Arial"/>
          <w:sz w:val="24"/>
        </w:rPr>
        <w:t xml:space="preserve"> e atenção à diversidade dos quatro escritórios, a organização pode reverter a queda no engajamento. Tratar as pessoas como o ativo central da estratégia de mudança é o caminho para transformar a complexidade dos M&amp;A em vantagem competitiva sustentável e recuperar a excelência que outrora definiu a operação.</w:t>
      </w:r>
    </w:p>
    <w:p>
      <w:pPr>
        <w:pBdr>
          <w:bottom w:val="single" w:sz="6" w:space="1" w:color="9A8FB0"/>
        </w:pBdr>
      </w:pPr>
    </w:p>
    <w:p>
      <w:r>
        <w:rPr>
          <w:rFonts w:ascii="Arial" w:hAnsi="Arial"/>
          <w:i/>
          <w:color w:val="6A6275"/>
          <w:sz w:val="20"/>
        </w:rPr>
        <w:t>Inteligência artificial foi utilizada para a normalização linguística e a revisão deste texto. A análise, a interpretação e as conclusões são de responsabilidade do autor.</w:t>
      </w:r>
    </w:p>
    <w:sectPr w:rsidR="003464ED" w:rsidRPr="00FB3CC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3F3722"/>
    <w:multiLevelType w:val="hybridMultilevel"/>
    <w:tmpl w:val="9A1A3E58"/>
    <w:lvl w:ilvl="0" w:tplc="4A7E409C">
      <w:start w:val="1"/>
      <w:numFmt w:val="decimal"/>
      <w:lvlText w:val="%1."/>
      <w:lvlJc w:val="left"/>
      <w:pPr>
        <w:ind w:left="720" w:hanging="360"/>
      </w:pPr>
    </w:lvl>
    <w:lvl w:ilvl="1" w:tplc="EB444B4E">
      <w:numFmt w:val="decimal"/>
      <w:lvlText w:val=""/>
      <w:lvlJc w:val="left"/>
    </w:lvl>
    <w:lvl w:ilvl="2" w:tplc="5B0EB27E">
      <w:numFmt w:val="decimal"/>
      <w:lvlText w:val=""/>
      <w:lvlJc w:val="left"/>
    </w:lvl>
    <w:lvl w:ilvl="3" w:tplc="1EBC9002">
      <w:numFmt w:val="decimal"/>
      <w:lvlText w:val=""/>
      <w:lvlJc w:val="left"/>
    </w:lvl>
    <w:lvl w:ilvl="4" w:tplc="FEACB7D6">
      <w:numFmt w:val="decimal"/>
      <w:lvlText w:val=""/>
      <w:lvlJc w:val="left"/>
    </w:lvl>
    <w:lvl w:ilvl="5" w:tplc="1E18FD8A">
      <w:numFmt w:val="decimal"/>
      <w:lvlText w:val=""/>
      <w:lvlJc w:val="left"/>
    </w:lvl>
    <w:lvl w:ilvl="6" w:tplc="34EEDEB2">
      <w:numFmt w:val="decimal"/>
      <w:lvlText w:val=""/>
      <w:lvlJc w:val="left"/>
    </w:lvl>
    <w:lvl w:ilvl="7" w:tplc="0688F1F2">
      <w:numFmt w:val="decimal"/>
      <w:lvlText w:val=""/>
      <w:lvlJc w:val="left"/>
    </w:lvl>
    <w:lvl w:ilvl="8" w:tplc="739C9422">
      <w:numFmt w:val="decimal"/>
      <w:lvlText w:val=""/>
      <w:lvlJc w:val="left"/>
    </w:lvl>
  </w:abstractNum>
  <w:abstractNum w:abstractNumId="1" w15:restartNumberingAfterBreak="0">
    <w:nsid w:val="28F338EC"/>
    <w:multiLevelType w:val="hybridMultilevel"/>
    <w:tmpl w:val="5D0C1C8C"/>
    <w:lvl w:ilvl="0" w:tplc="75944ACA">
      <w:start w:val="1"/>
      <w:numFmt w:val="bullet"/>
      <w:lvlText w:val="●"/>
      <w:lvlJc w:val="left"/>
      <w:pPr>
        <w:ind w:left="720" w:hanging="360"/>
      </w:pPr>
    </w:lvl>
    <w:lvl w:ilvl="1" w:tplc="BA3644C0">
      <w:start w:val="1"/>
      <w:numFmt w:val="bullet"/>
      <w:lvlText w:val="○"/>
      <w:lvlJc w:val="left"/>
      <w:pPr>
        <w:ind w:left="1440" w:hanging="360"/>
      </w:pPr>
    </w:lvl>
    <w:lvl w:ilvl="2" w:tplc="E982D28E">
      <w:start w:val="1"/>
      <w:numFmt w:val="bullet"/>
      <w:lvlText w:val="■"/>
      <w:lvlJc w:val="left"/>
      <w:pPr>
        <w:ind w:left="2160" w:hanging="360"/>
      </w:pPr>
    </w:lvl>
    <w:lvl w:ilvl="3" w:tplc="125230DC">
      <w:start w:val="1"/>
      <w:numFmt w:val="bullet"/>
      <w:lvlText w:val="●"/>
      <w:lvlJc w:val="left"/>
      <w:pPr>
        <w:ind w:left="2880" w:hanging="360"/>
      </w:pPr>
    </w:lvl>
    <w:lvl w:ilvl="4" w:tplc="DB9EC5EE">
      <w:start w:val="1"/>
      <w:numFmt w:val="bullet"/>
      <w:lvlText w:val="○"/>
      <w:lvlJc w:val="left"/>
      <w:pPr>
        <w:ind w:left="3600" w:hanging="360"/>
      </w:pPr>
    </w:lvl>
    <w:lvl w:ilvl="5" w:tplc="D09A48F8">
      <w:start w:val="1"/>
      <w:numFmt w:val="bullet"/>
      <w:lvlText w:val="■"/>
      <w:lvlJc w:val="left"/>
      <w:pPr>
        <w:ind w:left="4320" w:hanging="360"/>
      </w:pPr>
    </w:lvl>
    <w:lvl w:ilvl="6" w:tplc="A5B21840">
      <w:start w:val="1"/>
      <w:numFmt w:val="bullet"/>
      <w:lvlText w:val="●"/>
      <w:lvlJc w:val="left"/>
      <w:pPr>
        <w:ind w:left="5040" w:hanging="360"/>
      </w:pPr>
    </w:lvl>
    <w:lvl w:ilvl="7" w:tplc="A8F08A9E">
      <w:start w:val="1"/>
      <w:numFmt w:val="bullet"/>
      <w:lvlText w:val="●"/>
      <w:lvlJc w:val="left"/>
      <w:pPr>
        <w:ind w:left="5760" w:hanging="360"/>
      </w:pPr>
    </w:lvl>
    <w:lvl w:ilvl="8" w:tplc="680C2686">
      <w:start w:val="1"/>
      <w:numFmt w:val="bullet"/>
      <w:lvlText w:val="●"/>
      <w:lvlJc w:val="left"/>
      <w:pPr>
        <w:ind w:left="6480" w:hanging="360"/>
      </w:pPr>
    </w:lvl>
  </w:abstractNum>
  <w:num w:numId="1" w16cid:durableId="2029048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4ED"/>
    <w:rsid w:val="000D63DB"/>
    <w:rsid w:val="0014364B"/>
    <w:rsid w:val="003464ED"/>
    <w:rsid w:val="00A143BA"/>
    <w:rsid w:val="00A4546B"/>
    <w:rsid w:val="00AE289D"/>
    <w:rsid w:val="00B04C4D"/>
    <w:rsid w:val="00B57BE7"/>
    <w:rsid w:val="00BB7497"/>
    <w:rsid w:val="00E449B4"/>
    <w:rsid w:val="00F916BA"/>
    <w:rsid w:val="00FB3CCD"/>
    <w:rsid w:val="00FB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3D28DE"/>
  <w15:docId w15:val="{B953E6EC-CA99-4FB8-BB14-0CF8BDFB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Heading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2979</Words>
  <Characters>15524</Characters>
  <Application>Microsoft Office Word</Application>
  <DocSecurity>0</DocSecurity>
  <Lines>250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Bernardi</cp:lastModifiedBy>
  <cp:revision>9</cp:revision>
  <dcterms:created xsi:type="dcterms:W3CDTF">2026-06-24T14:19:00Z</dcterms:created>
  <dcterms:modified xsi:type="dcterms:W3CDTF">2026-06-26T14:34:00Z</dcterms:modified>
</cp:coreProperties>
</file>