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EB1EA" w14:textId="77777777" w:rsidR="003464ED" w:rsidRPr="00FB3CCD" w:rsidRDefault="00000000" w:rsidP="00B57BE7">
      <w:pPr>
        <w:pStyle w:val="Heading2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RELATÓRIO DE DIAGNÓSTICO E INTERVENÇÃO ESTRATÉGICA: O CASO TELUS DIGITAL</w:t>
      </w:r>
    </w:p>
    <w:p w14:paraId="5FFC4CAD" w14:textId="77777777" w:rsidR="003464ED" w:rsidRPr="00FB3CCD" w:rsidRDefault="00000000" w:rsidP="00B57BE7">
      <w:pPr>
        <w:spacing w:before="60" w:line="360" w:lineRule="auto"/>
        <w:jc w:val="center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Análise da crise de engajamento e plano de revitalização do capital humano pós-M&amp;A e expansão de escala</w:t>
      </w:r>
    </w:p>
    <w:p w14:paraId="107598DC" w14:textId="4FC7862F" w:rsidR="003464ED" w:rsidRPr="00FB3CCD" w:rsidRDefault="003464E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0A75F349" w14:textId="77777777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1. INTRODUÇÃO</w:t>
      </w:r>
    </w:p>
    <w:p w14:paraId="6A02F64F" w14:textId="2A996E5E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No cenário contemporâneo da economia digital, a Gestão Estratégica de Pessoas (GEP) consolidou-se como o principal diferencial competitivo das organizações. Em setores onde o capital intelectual é o ativo primário, a capacidade de atrair, desenvolver e, fundamentalmente, engajar talentos determina a sustentabilidade e a capacidade de inovação de uma companhia. A GEP atua como a ponte entre os objetivos </w:t>
      </w:r>
      <w:proofErr w:type="spellStart"/>
      <w:r w:rsidRPr="00FB3CCD">
        <w:rPr>
          <w:rFonts w:ascii="Arial" w:hAnsi="Arial" w:cs="Arial"/>
          <w:sz w:val="24"/>
          <w:szCs w:val="24"/>
        </w:rPr>
        <w:t>macroestratégicos</w:t>
      </w:r>
      <w:proofErr w:type="spellEnd"/>
      <w:r w:rsidRPr="00FB3CCD">
        <w:rPr>
          <w:rFonts w:ascii="Arial" w:hAnsi="Arial" w:cs="Arial"/>
          <w:sz w:val="24"/>
          <w:szCs w:val="24"/>
        </w:rPr>
        <w:t xml:space="preserve"> da organização e a execução operacional, garantindo que a cultura organizacional seja o motor, e não o freio, do crescimento.</w:t>
      </w:r>
    </w:p>
    <w:p w14:paraId="0EB016C9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O presente relatório tem como objetivo realizar um diagnóstico focado exclusivamente na problemática de Gente e Gestão enfrentada pela TELUS Digital, especificamente em sua operação de Design na América Latina. O recorte não se limita ao Brasil: a partir de 2025, os escritórios de Buenos Aires, na Argentina, e da Cidade da Guatemala passaram a integrar o grupo, somando-se a Porto Alegre e São Paulo, de modo que as dores variam por escritório e essa dimensão regional precisa permanecer visível na análise. Após um período de sucessivas incorporações (M&amp;A) e um aumento expressivo na escala de projetos, a organização registrou uma deterioração relevante em seus indicadores de clima e intenção de permanência. Este documento utiliza os referenciais teóricos das aulas de Gestão Estratégica de Pessoas, em Gestão de Carreiras, Avaliação de Desempenho, Treinamento e Desenvolvimento, e Atração e Seleção, para analisar as causas raízes dessa erosão cultural e propor soluções práticas para estabilizar o ambiente e recuperar o engajamento.</w:t>
      </w:r>
    </w:p>
    <w:p w14:paraId="791E4350" w14:textId="77777777" w:rsidR="00B04C4D" w:rsidRPr="00FB3CCD" w:rsidRDefault="00B04C4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1466C795" w14:textId="77777777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2. DESCRIÇÃO DA ORGANIZAÇÃO</w:t>
      </w:r>
    </w:p>
    <w:p w14:paraId="46035933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A TELUS Digital é o braço global de tecnologia e Customer Experience (CX) da TELUS Corporation, operando em um mercado de altíssima competitividade por talentos técnicos. A operação de Design na América Latina tem um histórico de transformações aceleradas, originada da Poatek, uma boutique de software de Porto Alegre reconhecida por sua cultura de excelência, agilidade e forte identidade profissional. Trata-se hoje de uma célula de 41 pessoas dentro de um grupo global com mais de 140 mil profissionais, distribuída em quatro escritórios e três países: Porto Alegre e São Paulo, no Brasil, Buenos Aires, na Argentina, e a Cidade da Guatemala.</w:t>
      </w:r>
    </w:p>
    <w:p w14:paraId="0981CA9A" w14:textId="53560FF8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lastRenderedPageBreak/>
        <w:t>A unidade passou por uma sucessão de integrações críticas: primeiro pela WillowTree em 2021, seguida pela aquisição pela TELUS International em 2022, culminando na atual estrutura da TELUS Digital em 2025, ano em que a TELUS concluiu o fechamento de capital e em que Buenos Aires e a Cidade da Guatemala passaram a integrar o grupo. Essa transição de uma estrutura de boutique para uma escala corporativa global trouxe um aumento significativo na complexidade e no volume dos projetos. No entanto, essa expansão de escala não foi acompanhada por uma estratégia de sustentação do capital humano que preservasse a essência cultural da operação original, resultando em um ambiente em constante mutação institucional e em distanciamento entre a liderança global e a base operacional. Vale registrar que o negócio permanece saudável no plano financeiro, com receita anual de US$ 2,8 bilhões em 2025, crescimento de 5% sobre 2024 e lucro positivo, o que sustenta a tese de que o problema aqui é de gente, e não de resultado financeiro.</w:t>
      </w:r>
    </w:p>
    <w:p w14:paraId="13BF1FCD" w14:textId="77777777" w:rsidR="00B04C4D" w:rsidRPr="00FB3CCD" w:rsidRDefault="00B04C4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53463DF3" w14:textId="77777777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3. IDENTIFICAÇÃO DO PROBLEMA CENTRAL</w:t>
      </w:r>
    </w:p>
    <w:p w14:paraId="48C38279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O problema central identificado é a crise aguda de engajamento e a diluição da identidade cultural decorrente das sucessivas incorporações e do crescimento acelerado sem suporte estrutural humano. A mudança constante de gestão e a pressão pelo aumento na escala de projetos geraram uma quebra no contrato psicológico, refletida nos dados do Pulsecheck 2025, em que o índice de engajamento ficou em 40 pontos. A meta oficial do ciclo, definida no Scorecard de 2025, era de 80 pontos, de modo que o resultado representa exatamente metade da meta formal da empresa, um desvio expressivo que posiciona a área no quartil inferior do benchmark global de engajamento.</w:t>
      </w:r>
    </w:p>
    <w:p w14:paraId="647E29B6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Nota metodológica. O dado precisa ser lido com honestidade quanto a seus limites. A pesquisa teve amostra pequena, com 20 respostas de um universo de 41 pessoas, e a forma de medir mudou de 2024 para 2025, o que impede comparação histórica direta. Por isso, evita-se aqui afirmar categoricamente que o engajamento despencou, já que não há base comparável estável. Esses limites, porém, não invalidam o diagnóstico: um workshop posterior, conduzido com todos os 41 membros do time, validou que o sentimento captado pela pesquisa era compartilhado pela imensa maioria. A triangulação entre o dado quantitativo e a escuta qualitativa sustenta empiricamente os achados, ainda que a precisão numérica peça cautela.</w:t>
      </w:r>
    </w:p>
    <w:p w14:paraId="0F7124B7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A leitura do caso aponta que o eixo da falha está na gestão da mudança ao longo das integrações. É preciso registrar que a disciplina não oferece um framework formal de change management, de modo que esta é uma interpretação do caso, apoiada na discussão de mudança organizacional trazida por Wood Jr (1995) e no caso GE estudado na Aula 6. O foco na integração operacional e no aumento da produtividade negligenciou o impacto humano da </w:t>
      </w:r>
      <w:r w:rsidRPr="00FB3CCD">
        <w:rPr>
          <w:rFonts w:ascii="Arial" w:hAnsi="Arial" w:cs="Arial"/>
          <w:sz w:val="24"/>
          <w:szCs w:val="24"/>
        </w:rPr>
        <w:lastRenderedPageBreak/>
        <w:t>transição. As dimensões afetadas podem ser lidas pelo modelo Say, Stay, Strive, que é o framework da própria pesquisa Pulsecheck, e não da bibliografia da disciplina:</w:t>
      </w:r>
    </w:p>
    <w:p w14:paraId="029A4246" w14:textId="110D0289" w:rsidR="003464ED" w:rsidRPr="00FB3CCD" w:rsidRDefault="00000000" w:rsidP="00B57BE7">
      <w:pPr>
        <w:pStyle w:val="ListParagraph"/>
        <w:numPr>
          <w:ilvl w:val="0"/>
          <w:numId w:val="1"/>
        </w:numPr>
        <w:spacing w:before="40" w:after="4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Say (falar bem): o item de recomendação da empresa permanece relativamente alto, em 75%, mas convive com deterioração da segurança psicológica no plano institucional, em que as pessoas não se sentem seguras para se posicionar sobre os desafios da empresa.</w:t>
      </w:r>
    </w:p>
    <w:p w14:paraId="72ED16F9" w14:textId="77777777" w:rsidR="003464ED" w:rsidRPr="00FB3CCD" w:rsidRDefault="00000000" w:rsidP="00B57BE7">
      <w:pPr>
        <w:pStyle w:val="ListParagraph"/>
        <w:numPr>
          <w:ilvl w:val="0"/>
          <w:numId w:val="1"/>
        </w:numPr>
        <w:spacing w:before="40" w:after="4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Stay (querer ficar): a intenção de permanência caiu a 25%, com gap de 49 pontos contra o benchmark, sinalizando risco de turnover voluntário, em parte porque o talento não vê mais a cultura de boutique que o atraiu originalmente.</w:t>
      </w:r>
    </w:p>
    <w:p w14:paraId="0C973A5C" w14:textId="77777777" w:rsidR="003464ED" w:rsidRPr="00FB3CCD" w:rsidRDefault="00000000" w:rsidP="00B57BE7">
      <w:pPr>
        <w:pStyle w:val="ListParagraph"/>
        <w:numPr>
          <w:ilvl w:val="0"/>
          <w:numId w:val="1"/>
        </w:numPr>
        <w:spacing w:before="40" w:after="40" w:line="360" w:lineRule="auto"/>
        <w:rPr>
          <w:rFonts w:ascii="Arial" w:hAnsi="Arial" w:cs="Arial"/>
          <w:sz w:val="24"/>
          <w:szCs w:val="24"/>
        </w:rPr>
      </w:pPr>
      <w:proofErr w:type="spellStart"/>
      <w:r w:rsidRPr="00FB3CCD">
        <w:rPr>
          <w:rFonts w:ascii="Arial" w:hAnsi="Arial" w:cs="Arial"/>
          <w:sz w:val="24"/>
          <w:szCs w:val="24"/>
        </w:rPr>
        <w:t>Strive</w:t>
      </w:r>
      <w:proofErr w:type="spellEnd"/>
      <w:r w:rsidRPr="00FB3CCD">
        <w:rPr>
          <w:rFonts w:ascii="Arial" w:hAnsi="Arial" w:cs="Arial"/>
          <w:sz w:val="24"/>
          <w:szCs w:val="24"/>
        </w:rPr>
        <w:t xml:space="preserve"> (esforçar-se além): o indicador ficou em 30%, com gap de 45 pontos. O aumento na escala de projetos sem o devido suporte gera sobrecarga e limita o esforço discricionário ao mínimo necessário.</w:t>
      </w:r>
    </w:p>
    <w:p w14:paraId="20A69532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O sentimento predominante é de que a agilidade e o reconhecimento da antiga Poatek foram substituídos por uma estrutura global impessoal, em que o colaborador sente-se apenas uma peça em uma engrenagem de larga escala. Esse sentimento, contudo, não é homogêneo entre os quatro escritórios: as dores variam por localidade, e a heterogeneidade regional deve permanecer visível no diagnóstico.</w:t>
      </w:r>
    </w:p>
    <w:p w14:paraId="57130A46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O dado mais característico do caso é um paradoxo entre o nível micro e o nível macro. No plano do time imediato, a confiança é altíssima: o apoio do gestor para ter sucesso aparece em 100%, o respeito entre colegas em 100% e o incentivo do gestor à inovação em 95%. No plano institucional, porém, os indicadores desabam: é seguro me posicionar sem medo ficou em 30%, o pior item de toda a pesquisa, sou motivado pelos valores da empresa também em 30% e entendo meu programa de remuneração em 35%. As pessoas confiam em quem está perto e desconfiam do que está acima. Essa tensão foi sintoma avaliado nos workshops: as falas tratavam de desconforto em falar em reuniões maiores e em escalar questões para a vice-presidência e as lideranças globais. Não se trata de medo do gestor direto, e sim de insegurança diante da instância global e institucional. Cabe registrar que segurança psicológica é um conceito consolidado na literatura, associado a Edmondson, e não um framework das aulas da disciplina.</w:t>
      </w:r>
    </w:p>
    <w:p w14:paraId="29160314" w14:textId="77777777" w:rsidR="00B04C4D" w:rsidRPr="00FB3CCD" w:rsidRDefault="00B04C4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31B6545D" w14:textId="77777777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4. ANÁLISE DOS PROBLEMAS SOB REFERENCIAIS TEÓRICOS</w:t>
      </w:r>
    </w:p>
    <w:p w14:paraId="3ACF4C47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4.1 Gestão de Carreiras: Preservação da Identidade e Carreira </w:t>
      </w:r>
      <w:proofErr w:type="spellStart"/>
      <w:r w:rsidRPr="00FB3CCD">
        <w:rPr>
          <w:rFonts w:ascii="Arial" w:hAnsi="Arial" w:cs="Arial"/>
          <w:sz w:val="24"/>
          <w:szCs w:val="24"/>
        </w:rPr>
        <w:t>Proteana</w:t>
      </w:r>
      <w:proofErr w:type="spellEnd"/>
    </w:p>
    <w:p w14:paraId="3DAE0720" w14:textId="63E4F5BE" w:rsidR="003464ED" w:rsidRPr="00FB3CCD" w:rsidRDefault="00A143BA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A insatisfação reflete uma falha na transição para o modelo de Carreira Proteana, conceito de Hall trabalhado na Aula 7, em que o profissional busca autogestão e alinhamento entre valores pessoais e organizacionais. Em empresas de tecnologia, esse alinhamento é determinante. As sucessivas mudanças de gestão retiraram o protagonismo do indivíduo e impuseram trilhas de carreira que não dialogam com a identidade profissional construída na fase inicial, o que se </w:t>
      </w:r>
      <w:r w:rsidRPr="00FB3CCD">
        <w:rPr>
          <w:rFonts w:ascii="Arial" w:hAnsi="Arial" w:cs="Arial"/>
          <w:sz w:val="24"/>
          <w:szCs w:val="24"/>
        </w:rPr>
        <w:lastRenderedPageBreak/>
        <w:t>conecta à discussão de preferências e administração de carreiras de Dutra, também vista na disciplina. A falta de clareza sobre o futuro profissional em uma estrutura de grande escala corrói o contrato psicológico, conceito de Schein igualmente abordado na Aula 7, gerando sensação de estagnação e perda de propósito.</w:t>
      </w:r>
    </w:p>
    <w:p w14:paraId="79D18546" w14:textId="77777777" w:rsidR="00AE289D" w:rsidRPr="00FB3CCD" w:rsidRDefault="00AE289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7F8647AA" w14:textId="77777777" w:rsidR="00AE289D" w:rsidRPr="00FB3CCD" w:rsidRDefault="00AE289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58542D77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4.2 Avaliação de Desempenho: O Desafio da Gestão de Mudanças</w:t>
      </w:r>
    </w:p>
    <w:p w14:paraId="30611C14" w14:textId="667BDF7B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Em um cenário de crescimento acelerado, a avaliação tendeu a se tornar puramente métrica, presa ao quê e cega ao como, o que contraria a noção de Performance Sustentável discutida na Aula 6, que articula resultado e comportamento. Ao ignorar a leitura de potencial, a operação deixa de usar instrumentos como a Matriz Desempenho x Potencial, a 9-box, e o conceito de Learning Agility de Lombardo e Eichinger (2000), que seriam especialmente úteis num momento de transição em que a capacidade de aprender em contextos novos importa mais do que a entrega passada. Sem segurança psicológica para expressar preocupações durante a integração, os colaboradores percebem a avaliação como injusta, o que impacta diretamente o pilar </w:t>
      </w:r>
      <w:proofErr w:type="spellStart"/>
      <w:r w:rsidRPr="00FB3CCD">
        <w:rPr>
          <w:rFonts w:ascii="Arial" w:hAnsi="Arial" w:cs="Arial"/>
          <w:sz w:val="24"/>
          <w:szCs w:val="24"/>
        </w:rPr>
        <w:t>Strive</w:t>
      </w:r>
      <w:proofErr w:type="spellEnd"/>
      <w:r w:rsidRPr="00FB3CCD">
        <w:rPr>
          <w:rFonts w:ascii="Arial" w:hAnsi="Arial" w:cs="Arial"/>
          <w:sz w:val="24"/>
          <w:szCs w:val="24"/>
        </w:rPr>
        <w:t>.</w:t>
      </w:r>
    </w:p>
    <w:p w14:paraId="6BAF4F74" w14:textId="77777777" w:rsidR="00AE289D" w:rsidRPr="00FB3CCD" w:rsidRDefault="00AE289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187EE9AF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4.3 Treinamento e Desenvolvimento: Sustentação para a Escala</w:t>
      </w:r>
    </w:p>
    <w:p w14:paraId="57D79DD0" w14:textId="6CE6B523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A empresa falhou ao não mensurar o impacto das ações de desenvolvimento conduzidas durante a transição. A Aula 5 oferece exatamente o vocabulário que faltou nesse ponto: o modelo de quatro níveis de Kirkpatrick (1975) e o ROI de Phillips permitem avaliar se o treinamento gerou reação, aprendizado, mudança de comportamento e resultado, em vez de tratar a capacitação como despesa sem retorno verificável. O aumento na escala de projetos exigia um desenvolvimento de lideranças ancorado na Andragogia, em Knowles (1975), com sua premissa de aprendizagem autodirigida, e em Kolb (1984), com a aprendizagem pela experiência, capacitando gestores a conduzir equipes maiores sem perder a proximidade. A ausência de programas de Mentoria, também tratada na Aula 5, para preservar o conhecimento cultural da Poatek durante a transição impediu que a nova cultura fosse absorvida de forma orgânica, resultando em um vácuo de competências comportamentais.</w:t>
      </w:r>
    </w:p>
    <w:p w14:paraId="61BECD44" w14:textId="77777777" w:rsidR="00AE289D" w:rsidRPr="00FB3CCD" w:rsidRDefault="00AE289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05CE1A18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4.4 Atração e Seleção: Impacto no </w:t>
      </w:r>
      <w:proofErr w:type="spellStart"/>
      <w:r w:rsidRPr="00FB3CCD">
        <w:rPr>
          <w:rFonts w:ascii="Arial" w:hAnsi="Arial" w:cs="Arial"/>
          <w:sz w:val="24"/>
          <w:szCs w:val="24"/>
        </w:rPr>
        <w:t>Employer</w:t>
      </w:r>
      <w:proofErr w:type="spellEnd"/>
      <w:r w:rsidRPr="00FB3CCD">
        <w:rPr>
          <w:rFonts w:ascii="Arial" w:hAnsi="Arial" w:cs="Arial"/>
          <w:sz w:val="24"/>
          <w:szCs w:val="24"/>
        </w:rPr>
        <w:t xml:space="preserve"> Branding e EVP</w:t>
      </w:r>
    </w:p>
    <w:p w14:paraId="4ECBC2EA" w14:textId="374BBAF1" w:rsidR="003464ED" w:rsidRPr="00FB3CCD" w:rsidRDefault="00A143BA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As sucessivas incorporações fragilizaram aquilo que a Aula 3 denomina os Atrativos da Empresa, conceito de Richard L. Daft que organiza o que torna uma organização desejável para o talento, e que no vocabulário de mercado se aproxima da Proposta de Valor ao Empregado (EVP) e do Employer Branding. O que antes era oferecido como uma experiência de boutique tornou-se uma </w:t>
      </w:r>
      <w:r w:rsidRPr="00FB3CCD">
        <w:rPr>
          <w:rFonts w:ascii="Arial" w:hAnsi="Arial" w:cs="Arial"/>
          <w:sz w:val="24"/>
          <w:szCs w:val="24"/>
        </w:rPr>
        <w:lastRenderedPageBreak/>
        <w:t>operação de escala. À luz da tipologia de estratégias de recrutamento de Windolf (1986), se a Atração e Seleção não for realinhada para refletir a nova realidade, a empresa continuará atraindo perfis que buscam uma cultura que não existe mais, alimentando o ciclo de turnover, porque a promessa da marca empregadora deixou de condizer com a experiência real do colaborador no pós-M&amp;A.</w:t>
      </w:r>
    </w:p>
    <w:p w14:paraId="076E85AB" w14:textId="77777777" w:rsidR="00B04C4D" w:rsidRPr="00FB3CCD" w:rsidRDefault="00B04C4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107E137F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4.5 Cultura Organizacional: A Diluição da Identidade Pós-Aquisição</w:t>
      </w:r>
    </w:p>
    <w:p w14:paraId="4FBEB079" w14:textId="77777777" w:rsidR="003464ED" w:rsidRPr="00FB3CCD" w:rsidRDefault="00A143BA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A tese de diluição da identidade cultural ganha lastro na Aula 2, que trata cultura organizacional no sentido de Schein, com seus três níveis de artefatos, valores e pressupostos básicos, na leitura trazida por Fleury. A erosão observada na operação não é apenas perda de clima: é o desgaste da camada mais profunda de pressupostos compartilhados que a Poatek havia construído, substituída por uma identidade corporativa global que ainda não foi internalizada como própria. Quando os artefatos visíveis mudam, marca, sistemas e ritos, sem que os valores e pressupostos sejam reconstruídos com o time, a cultura deixa de ser motor e passa a ser fonte de estranhamento. É essa leitura, e não apenas o indicador de engajamento, que explica por que a confiança institucional caiu enquanto a confiança no time imediato permaneceu intacta.</w:t>
      </w:r>
    </w:p>
    <w:p w14:paraId="6184FAC8" w14:textId="77777777" w:rsidR="00B04C4D" w:rsidRPr="00FB3CCD" w:rsidRDefault="00B04C4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4595A8EB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4.6 Competências Organizacionais e Individuais: o Descompasso entre Boutique e Escala</w:t>
      </w:r>
    </w:p>
    <w:p w14:paraId="197E062E" w14:textId="4D174D3D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A Aula 2 oferece o segundo eixo de leitura deste caso. No sentido de Prahalad e Hamel, as competências organizacionais, ou </w:t>
      </w:r>
      <w:r w:rsidRPr="0014364B">
        <w:rPr>
          <w:rFonts w:ascii="Arial" w:hAnsi="Arial"/>
          <w:i/>
          <w:iCs/>
          <w:sz w:val="24"/>
        </w:rPr>
        <w:t>core competences</w:t>
      </w:r>
      <w:r>
        <w:rPr>
          <w:rFonts w:ascii="Arial" w:hAnsi="Arial"/>
          <w:sz w:val="24"/>
        </w:rPr>
        <w:t xml:space="preserve">, são as raízes que sustentam a vantagem competitiva de uma organização. As competências distintivas que deram nome à Poatek eram a excelência em produto digital e a intimidade consultiva com o cliente, uma relação próxima em que se entendia o negócio do cliente a fundo. Essas raízes, porém, não foram cultivadas como ativo estratégico na transição. O foco deslocou-se para o negócio e para a escala: a paixão pelo craft e a cultura de proximidade e conforto deram lugar a um jogo corporativo de atendimento a clientes muito maiores e sob muito mais pressão. Em termos de Prahalad e Hamel, uma </w:t>
      </w:r>
      <w:r w:rsidRPr="0014364B">
        <w:rPr>
          <w:rFonts w:ascii="Arial" w:hAnsi="Arial"/>
          <w:i/>
          <w:iCs/>
          <w:sz w:val="24"/>
        </w:rPr>
        <w:t>core competence</w:t>
      </w:r>
      <w:r>
        <w:rPr>
          <w:rFonts w:ascii="Arial" w:hAnsi="Arial"/>
          <w:sz w:val="24"/>
        </w:rPr>
        <w:t xml:space="preserve"> que deixa de ser reconhecida e nutrida tende a ser tratada como </w:t>
      </w:r>
      <w:r w:rsidRPr="0014364B">
        <w:rPr>
          <w:rFonts w:ascii="Arial" w:hAnsi="Arial"/>
          <w:i/>
          <w:iCs/>
          <w:sz w:val="24"/>
        </w:rPr>
        <w:t>commodity</w:t>
      </w:r>
      <w:r>
        <w:rPr>
          <w:rFonts w:ascii="Arial" w:hAnsi="Arial"/>
          <w:sz w:val="24"/>
        </w:rPr>
        <w:t xml:space="preserve"> e a se diluir, que é exatamente o risco que a operação corre.</w:t>
      </w:r>
    </w:p>
    <w:p w14:paraId="12BFDF24" w14:textId="7D01B196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No nível individual, na leitura d</w:t>
      </w:r>
      <w:r w:rsidR="0014364B">
        <w:rPr>
          <w:rFonts w:ascii="Arial" w:hAnsi="Arial"/>
          <w:sz w:val="24"/>
        </w:rPr>
        <w:t>o caso da</w:t>
      </w:r>
      <w:r>
        <w:rPr>
          <w:rFonts w:ascii="Arial" w:hAnsi="Arial"/>
          <w:sz w:val="24"/>
        </w:rPr>
        <w:t xml:space="preserve"> Fleury e na noção de competência de Zarifian, entende competência como a mobilização de conhecimentos e capacidades em ação, gerando valor reconhecido. A escala redefiniu o que se espera dessa entrega. O perfil da </w:t>
      </w:r>
      <w:r w:rsidRPr="0014364B">
        <w:rPr>
          <w:rFonts w:ascii="Arial" w:hAnsi="Arial"/>
          <w:i/>
          <w:iCs/>
          <w:sz w:val="24"/>
        </w:rPr>
        <w:t>boutique</w:t>
      </w:r>
      <w:r>
        <w:rPr>
          <w:rFonts w:ascii="Arial" w:hAnsi="Arial"/>
          <w:sz w:val="24"/>
        </w:rPr>
        <w:t xml:space="preserve">, centrado no craft técnico e na proximidade, passou a exigir competências antes secundárias: gestão de </w:t>
      </w:r>
      <w:r w:rsidRPr="0014364B">
        <w:rPr>
          <w:rFonts w:ascii="Arial" w:hAnsi="Arial"/>
          <w:i/>
          <w:iCs/>
          <w:sz w:val="24"/>
        </w:rPr>
        <w:t>stakeholders</w:t>
      </w:r>
      <w:r>
        <w:rPr>
          <w:rFonts w:ascii="Arial" w:hAnsi="Arial"/>
          <w:sz w:val="24"/>
        </w:rPr>
        <w:t xml:space="preserve"> sêniores e globais, domínio do negócio e da indústria do cliente para além da técnica, e comunicação e influência em um contexto multinacional, mais hierárquico e multilíngue. Esse descompasso entre o repertório individual herdado e o que a operação em escala demanda </w:t>
      </w:r>
      <w:r>
        <w:rPr>
          <w:rFonts w:ascii="Arial" w:hAnsi="Arial"/>
          <w:sz w:val="24"/>
        </w:rPr>
        <w:lastRenderedPageBreak/>
        <w:t xml:space="preserve">é uma das raízes concretas da queda de </w:t>
      </w:r>
      <w:r w:rsidRPr="0014364B">
        <w:rPr>
          <w:rFonts w:ascii="Arial" w:hAnsi="Arial"/>
          <w:i/>
          <w:iCs/>
          <w:sz w:val="24"/>
        </w:rPr>
        <w:t>Strive</w:t>
      </w:r>
      <w:r>
        <w:rPr>
          <w:rFonts w:ascii="Arial" w:hAnsi="Arial"/>
          <w:sz w:val="24"/>
        </w:rPr>
        <w:t xml:space="preserve"> e da insegurança institucional. O quadro é agravado pela ausência de um mapeamento formal: o modelo de competências e níveis está em construção, e esse vácuo deixa o colaborador sem clareza sobre o que se espera dele em cada nível, conectando o problema de competências ao de carreira já discutido em 4.1.</w:t>
      </w:r>
    </w:p>
    <w:p w14:paraId="7A016DAF" w14:textId="77777777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5. SUGESTÃO DE SOLUÇÃO DO PROBLEMA CENTRAL</w:t>
      </w:r>
    </w:p>
    <w:p w14:paraId="23D9DB3F" w14:textId="180C89A9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Para estabilizar o ambiente e recuperar os scores de </w:t>
      </w:r>
      <w:r w:rsidRPr="0014364B">
        <w:rPr>
          <w:rFonts w:ascii="Arial" w:hAnsi="Arial" w:cs="Arial"/>
          <w:i/>
          <w:iCs/>
          <w:sz w:val="24"/>
          <w:szCs w:val="24"/>
        </w:rPr>
        <w:t>Say, Stay</w:t>
      </w:r>
      <w:r w:rsidRPr="00FB3CCD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14364B">
        <w:rPr>
          <w:rFonts w:ascii="Arial" w:hAnsi="Arial" w:cs="Arial"/>
          <w:i/>
          <w:iCs/>
          <w:sz w:val="24"/>
          <w:szCs w:val="24"/>
        </w:rPr>
        <w:t>Strive</w:t>
      </w:r>
      <w:proofErr w:type="spellEnd"/>
      <w:r w:rsidRPr="00FB3CCD">
        <w:rPr>
          <w:rFonts w:ascii="Arial" w:hAnsi="Arial" w:cs="Arial"/>
          <w:sz w:val="24"/>
          <w:szCs w:val="24"/>
        </w:rPr>
        <w:t>, propõe-se um Plano de Sustentação do Capital Humano focado em:</w:t>
      </w:r>
    </w:p>
    <w:p w14:paraId="1CBDBABD" w14:textId="77777777" w:rsidR="00AE289D" w:rsidRPr="00FB3CCD" w:rsidRDefault="00AE289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47BCB08A" w14:textId="2C87BED1" w:rsidR="00A143BA" w:rsidRPr="00FB3CCD" w:rsidRDefault="00000000" w:rsidP="00A143BA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5.</w:t>
      </w:r>
      <w:r w:rsidR="00A143BA" w:rsidRPr="00FB3CCD">
        <w:rPr>
          <w:rFonts w:ascii="Arial" w:hAnsi="Arial" w:cs="Arial"/>
          <w:sz w:val="24"/>
          <w:szCs w:val="24"/>
        </w:rPr>
        <w:t>1</w:t>
      </w:r>
      <w:r w:rsidRPr="00FB3CCD">
        <w:rPr>
          <w:rFonts w:ascii="Arial" w:hAnsi="Arial" w:cs="Arial"/>
          <w:sz w:val="24"/>
          <w:szCs w:val="24"/>
        </w:rPr>
        <w:t xml:space="preserve"> </w:t>
      </w:r>
      <w:r w:rsidR="00A143BA" w:rsidRPr="00FB3CCD">
        <w:rPr>
          <w:rFonts w:ascii="Arial" w:hAnsi="Arial" w:cs="Arial"/>
          <w:sz w:val="24"/>
          <w:szCs w:val="24"/>
        </w:rPr>
        <w:t>Capacitar para a nova escala</w:t>
      </w:r>
    </w:p>
    <w:p w14:paraId="140EF38B" w14:textId="0659A1C5" w:rsidR="000D63DB" w:rsidRPr="00FB3CCD" w:rsidRDefault="00A143BA" w:rsidP="00A143BA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O plano de carreira (Y) já existe. O que falta é preparo para operar em escala, e não em boutique: decisões de maior peso, stakeholders mais sêniores e outra forma de trabalhar. A frente combina treinamento, andragogia e mentoria de liderança, com mensuração de impacto pelos níveis de Kirkpatrick. Meta proposta, a calibrar com a liderança: capacitar 100% dos gestores da operação em um programa de liderança em escala dentro de 6 meses e elevar o item Strive, hoje em 30%, rumo a 50% em 12 meses.</w:t>
      </w:r>
    </w:p>
    <w:p w14:paraId="06EFB3BC" w14:textId="77777777" w:rsidR="000D63DB" w:rsidRPr="00FB3CCD" w:rsidRDefault="000D63DB" w:rsidP="00A143BA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07048F86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5.2 Proteger o que funciona</w:t>
      </w:r>
    </w:p>
    <w:p w14:paraId="7F0C9ACA" w14:textId="5502AEA4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A confiança no gestor, em 100%, e a cultura de colaboração, com colegas que se respeitam em 100%, são os ativos mais fortes do diagnóstico e a fundação sobre a qual o restante se reconstrói. É preciso reconhecê-los, dar visibilidade e usá-los como alavanca, sem tratá-los como garantidos. Meta proposta: preservar esses dois indicadores acima de 90% nas próximas ondas do Pulsecheck, tratando qualquer queda como sinal de alerta prioritário.</w:t>
      </w:r>
    </w:p>
    <w:p w14:paraId="0266755D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37BBE94B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5.3 Segurança psicológica primeiro</w:t>
      </w:r>
    </w:p>
    <w:p w14:paraId="4F7C3167" w14:textId="3EF1ABFA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A segurança psicológica é a prioridade número um, mas exige ação de quem tem poder: lideranças modelando vulnerabilidade e respondendo bem à discordância, e não apenas discurso de fale à vontade. Como o desconforto se concentra nas reuniões maiores e na escalada de questões para a vice-presidência e as lideranças globais, a ação precisa criar canais seguros nessa instância. Meta proposta: elevar o item é seguro me posicionar sem medo, hoje em 30% e pior item da pesquisa, para 55% em 12 meses e para 70% em 18 meses.</w:t>
      </w:r>
    </w:p>
    <w:p w14:paraId="5EC489A7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5A505FB3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5.4 Perfil, contratação e saída</w:t>
      </w:r>
    </w:p>
    <w:p w14:paraId="5306D653" w14:textId="58744332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lastRenderedPageBreak/>
        <w:t>Realinhar a Proposta de Valor ao Empregado e o perfil que o recrutamento busca à realidade de uma empresa de escala, à luz dos Atrativos da Empresa de Daft, preparar o RH para um turnover possivelmente mais alto e investir em offboarding humanizado. Nem toda saída é falha: parte é reajuste de perfil próprio da transição de boutique para escala, e distinguir os dois tipos de saída é parte da gestão. Meta proposta: instrumentar a medição de turnover para separar saída evitável de reajuste de transição em 3 meses e recuperar a intenção de permanência (Stay), hoje em 25%, rumo a 45% em 12 meses.</w:t>
      </w:r>
    </w:p>
    <w:p w14:paraId="042C92AD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20C09772" w14:textId="3FFDBFF8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5.</w:t>
      </w:r>
      <w:r w:rsidR="000D63DB" w:rsidRPr="00FB3CCD">
        <w:rPr>
          <w:rFonts w:ascii="Arial" w:hAnsi="Arial" w:cs="Arial"/>
          <w:sz w:val="24"/>
          <w:szCs w:val="24"/>
        </w:rPr>
        <w:t>5</w:t>
      </w:r>
      <w:r w:rsidRPr="00FB3CCD">
        <w:rPr>
          <w:rFonts w:ascii="Arial" w:hAnsi="Arial" w:cs="Arial"/>
          <w:sz w:val="24"/>
          <w:szCs w:val="24"/>
        </w:rPr>
        <w:t xml:space="preserve"> Recuperação dos Indicadores de Engajamento</w:t>
      </w:r>
    </w:p>
    <w:p w14:paraId="177EBF8B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Esta frente consolida as metas anteriores em uma ofensiva de recuperação do contrato psicológico, ancorada nos próprios indicadores do Pulsecheck e faseada no tempo. Os números a seguir são propostas a calibrar com a liderança e com a realidade de cada escritório, não compromissos rígidos.</w:t>
      </w:r>
    </w:p>
    <w:p w14:paraId="65E0260B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Em síntese, propõem-se as seguintes metas, a verificar em ondas semestrais da pesquisa: recuperar o engajamento geral dos atuais 40 pontos rumo à meta de 80 do Scorecard 2025, com marco intermediário de 60 pontos em 12 meses, saindo do quartil inferior do benchmark; elevar é seguro me posicionar de 30% para 55% em 12 meses; recuperar Stay de 25% para 45% e Strive de 30% para 50% no mesmo período; e preservar apoio do gestor e respeito entre colegas acima de 90%. Cada meta deve ser lida com atenção à heterogeneidade regional, já que Porto Alegre, São Paulo, Buenos Aires e a Cidade da Guatemala partem de pontos distintos.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3464ED" w:rsidRPr="00FB3CCD" w14:paraId="1F0506D1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86E3C7" w14:textId="77777777" w:rsidR="003464ED" w:rsidRPr="00FB3CCD" w:rsidRDefault="00000000" w:rsidP="00B57BE7">
            <w:pPr>
              <w:spacing w:before="80" w:after="8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Ação Estratégica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DD308B" w14:textId="77777777" w:rsidR="003464ED" w:rsidRPr="00FB3CCD" w:rsidRDefault="00000000" w:rsidP="00B57BE7">
            <w:pPr>
              <w:spacing w:before="80" w:after="8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Pilar GEP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19C2A06" w14:textId="77777777" w:rsidR="003464ED" w:rsidRPr="00FB3CCD" w:rsidRDefault="00000000" w:rsidP="00B57BE7">
            <w:pPr>
              <w:spacing w:before="80" w:after="8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Impacto no Engajamento</w:t>
            </w:r>
          </w:p>
        </w:tc>
      </w:tr>
      <w:tr w:rsidR="003464ED" w:rsidRPr="00FB3CCD" w14:paraId="5A90CF65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E34337" w14:textId="77777777" w:rsidR="003464ED" w:rsidRPr="00FB3CCD" w:rsidRDefault="00000000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Programa de Escuta Ativa e Town Halls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964CCE" w14:textId="77777777" w:rsidR="003464ED" w:rsidRPr="00FB3CCD" w:rsidRDefault="00000000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Gestão de Mudanças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0D3AAE" w14:textId="77777777" w:rsidR="003464ED" w:rsidRPr="00FB3CCD" w:rsidRDefault="00000000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Recuperação do Say (Transparência)</w:t>
            </w:r>
          </w:p>
        </w:tc>
      </w:tr>
      <w:tr w:rsidR="000D63DB" w:rsidRPr="00FB3CCD" w14:paraId="0FDBC022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7139A6" w14:textId="16FB146B" w:rsidR="000D63DB" w:rsidRPr="00FB3CCD" w:rsidRDefault="000D63DB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Mentoria de Liderança para Gestão de Escala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2BD549F" w14:textId="0FA94D5E" w:rsidR="000D63DB" w:rsidRPr="00FB3CCD" w:rsidRDefault="000D63DB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T&amp;D / Andragogia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641DE6" w14:textId="29AD4F1C" w:rsidR="000D63DB" w:rsidRPr="00FB3CCD" w:rsidRDefault="000D63DB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Estabilização do ambiente operacional</w:t>
            </w:r>
          </w:p>
        </w:tc>
      </w:tr>
    </w:tbl>
    <w:p w14:paraId="51C96E36" w14:textId="77777777" w:rsidR="00B04C4D" w:rsidRPr="00FB3CCD" w:rsidRDefault="00B04C4D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</w:p>
    <w:p w14:paraId="04B6EBCD" w14:textId="360AA785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CONCLUSÃO</w:t>
      </w:r>
    </w:p>
    <w:p w14:paraId="19E04390" w14:textId="28E69B44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A crise na operação de Design da América Latina da TELUS Digital é um desafio de Gente e Gestão típico de organizações que escalam rapidamente via aquisições. A solução não reside em métricas financeiras, que seguem saudáveis, mas na reconstrução do contrato psicológico com a instituição e na valorização do capital humano. A fundação mais difícil de construir, a confiança </w:t>
      </w:r>
      <w:r w:rsidRPr="00FB3CCD">
        <w:rPr>
          <w:rFonts w:ascii="Arial" w:hAnsi="Arial" w:cs="Arial"/>
          <w:sz w:val="24"/>
          <w:szCs w:val="24"/>
        </w:rPr>
        <w:lastRenderedPageBreak/>
        <w:t>com gestor e pares, segue de pé, e é a partir dela que se reconstrói o restante. Ao preservar a identidade profissional, dar clareza de carreira e apoiar as lideranças a gerir a nova escala, com metas verificáveis nos indicadores do Pulsecheck e atenção à diversidade dos quatro escritórios, a organização pode reverter a queda no engajamento. Tratar as pessoas como o ativo central da estratégia de mudança é o caminho para transformar a complexidade dos M&amp;A em vantagem competitiva sustentável e recuperar a excelência que outrora definiu a operação.</w:t>
      </w:r>
    </w:p>
    <w:sectPr w:rsidR="003464ED" w:rsidRPr="00FB3CC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3F3722"/>
    <w:multiLevelType w:val="hybridMultilevel"/>
    <w:tmpl w:val="9A1A3E58"/>
    <w:lvl w:ilvl="0" w:tplc="4A7E409C">
      <w:start w:val="1"/>
      <w:numFmt w:val="decimal"/>
      <w:lvlText w:val="%1."/>
      <w:lvlJc w:val="left"/>
      <w:pPr>
        <w:ind w:left="720" w:hanging="360"/>
      </w:pPr>
    </w:lvl>
    <w:lvl w:ilvl="1" w:tplc="EB444B4E">
      <w:numFmt w:val="decimal"/>
      <w:lvlText w:val=""/>
      <w:lvlJc w:val="left"/>
    </w:lvl>
    <w:lvl w:ilvl="2" w:tplc="5B0EB27E">
      <w:numFmt w:val="decimal"/>
      <w:lvlText w:val=""/>
      <w:lvlJc w:val="left"/>
    </w:lvl>
    <w:lvl w:ilvl="3" w:tplc="1EBC9002">
      <w:numFmt w:val="decimal"/>
      <w:lvlText w:val=""/>
      <w:lvlJc w:val="left"/>
    </w:lvl>
    <w:lvl w:ilvl="4" w:tplc="FEACB7D6">
      <w:numFmt w:val="decimal"/>
      <w:lvlText w:val=""/>
      <w:lvlJc w:val="left"/>
    </w:lvl>
    <w:lvl w:ilvl="5" w:tplc="1E18FD8A">
      <w:numFmt w:val="decimal"/>
      <w:lvlText w:val=""/>
      <w:lvlJc w:val="left"/>
    </w:lvl>
    <w:lvl w:ilvl="6" w:tplc="34EEDEB2">
      <w:numFmt w:val="decimal"/>
      <w:lvlText w:val=""/>
      <w:lvlJc w:val="left"/>
    </w:lvl>
    <w:lvl w:ilvl="7" w:tplc="0688F1F2">
      <w:numFmt w:val="decimal"/>
      <w:lvlText w:val=""/>
      <w:lvlJc w:val="left"/>
    </w:lvl>
    <w:lvl w:ilvl="8" w:tplc="739C9422">
      <w:numFmt w:val="decimal"/>
      <w:lvlText w:val=""/>
      <w:lvlJc w:val="left"/>
    </w:lvl>
  </w:abstractNum>
  <w:abstractNum w:abstractNumId="1" w15:restartNumberingAfterBreak="0">
    <w:nsid w:val="28F338EC"/>
    <w:multiLevelType w:val="hybridMultilevel"/>
    <w:tmpl w:val="5D0C1C8C"/>
    <w:lvl w:ilvl="0" w:tplc="75944ACA">
      <w:start w:val="1"/>
      <w:numFmt w:val="bullet"/>
      <w:lvlText w:val="●"/>
      <w:lvlJc w:val="left"/>
      <w:pPr>
        <w:ind w:left="720" w:hanging="360"/>
      </w:pPr>
    </w:lvl>
    <w:lvl w:ilvl="1" w:tplc="BA3644C0">
      <w:start w:val="1"/>
      <w:numFmt w:val="bullet"/>
      <w:lvlText w:val="○"/>
      <w:lvlJc w:val="left"/>
      <w:pPr>
        <w:ind w:left="1440" w:hanging="360"/>
      </w:pPr>
    </w:lvl>
    <w:lvl w:ilvl="2" w:tplc="E982D28E">
      <w:start w:val="1"/>
      <w:numFmt w:val="bullet"/>
      <w:lvlText w:val="■"/>
      <w:lvlJc w:val="left"/>
      <w:pPr>
        <w:ind w:left="2160" w:hanging="360"/>
      </w:pPr>
    </w:lvl>
    <w:lvl w:ilvl="3" w:tplc="125230DC">
      <w:start w:val="1"/>
      <w:numFmt w:val="bullet"/>
      <w:lvlText w:val="●"/>
      <w:lvlJc w:val="left"/>
      <w:pPr>
        <w:ind w:left="2880" w:hanging="360"/>
      </w:pPr>
    </w:lvl>
    <w:lvl w:ilvl="4" w:tplc="DB9EC5EE">
      <w:start w:val="1"/>
      <w:numFmt w:val="bullet"/>
      <w:lvlText w:val="○"/>
      <w:lvlJc w:val="left"/>
      <w:pPr>
        <w:ind w:left="3600" w:hanging="360"/>
      </w:pPr>
    </w:lvl>
    <w:lvl w:ilvl="5" w:tplc="D09A48F8">
      <w:start w:val="1"/>
      <w:numFmt w:val="bullet"/>
      <w:lvlText w:val="■"/>
      <w:lvlJc w:val="left"/>
      <w:pPr>
        <w:ind w:left="4320" w:hanging="360"/>
      </w:pPr>
    </w:lvl>
    <w:lvl w:ilvl="6" w:tplc="A5B21840">
      <w:start w:val="1"/>
      <w:numFmt w:val="bullet"/>
      <w:lvlText w:val="●"/>
      <w:lvlJc w:val="left"/>
      <w:pPr>
        <w:ind w:left="5040" w:hanging="360"/>
      </w:pPr>
    </w:lvl>
    <w:lvl w:ilvl="7" w:tplc="A8F08A9E">
      <w:start w:val="1"/>
      <w:numFmt w:val="bullet"/>
      <w:lvlText w:val="●"/>
      <w:lvlJc w:val="left"/>
      <w:pPr>
        <w:ind w:left="5760" w:hanging="360"/>
      </w:pPr>
    </w:lvl>
    <w:lvl w:ilvl="8" w:tplc="680C2686">
      <w:start w:val="1"/>
      <w:numFmt w:val="bullet"/>
      <w:lvlText w:val="●"/>
      <w:lvlJc w:val="left"/>
      <w:pPr>
        <w:ind w:left="6480" w:hanging="360"/>
      </w:pPr>
    </w:lvl>
  </w:abstractNum>
  <w:num w:numId="1" w16cid:durableId="2029048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4ED"/>
    <w:rsid w:val="000D63DB"/>
    <w:rsid w:val="0014364B"/>
    <w:rsid w:val="003464ED"/>
    <w:rsid w:val="00A143BA"/>
    <w:rsid w:val="00A4546B"/>
    <w:rsid w:val="00AE289D"/>
    <w:rsid w:val="00B04C4D"/>
    <w:rsid w:val="00B57BE7"/>
    <w:rsid w:val="00BB7497"/>
    <w:rsid w:val="00E449B4"/>
    <w:rsid w:val="00F916BA"/>
    <w:rsid w:val="00FB3CCD"/>
    <w:rsid w:val="00FB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3D28DE"/>
  <w15:docId w15:val="{B953E6EC-CA99-4FB8-BB14-0CF8BDFB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Heading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2979</Words>
  <Characters>15524</Characters>
  <Application>Microsoft Office Word</Application>
  <DocSecurity>0</DocSecurity>
  <Lines>250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Bernardi</cp:lastModifiedBy>
  <cp:revision>9</cp:revision>
  <dcterms:created xsi:type="dcterms:W3CDTF">2026-06-24T14:19:00Z</dcterms:created>
  <dcterms:modified xsi:type="dcterms:W3CDTF">2026-06-26T14:34:00Z</dcterms:modified>
</cp:coreProperties>
</file>