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9050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RELATÓRIO DE CHECKLIST DE MANUTENÇÃO</w:t>
      </w:r>
    </w:p>
    <w:p>
      <w:pPr>
        <w:spacing w:after="260"/>
        <w:jc w:val="center"/>
      </w:pPr>
      <w:r>
        <w:rPr>
          <w:rFonts w:ascii="Arial" w:cs="Arial" w:eastAsia="Arial" w:hAnsi="Arial"/>
          <w:color w:val="52514E"/>
          <w:sz w:val="20"/>
          <w:szCs w:val="20"/>
        </w:rPr>
        <w:t xml:space="preserve">Colhedora Frota 12 · John Deere S540 · Inspeção em 04/08/2026</w:t>
      </w: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1. Identificação da máquina e da inspeção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Tipo de máquina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Colhedora de grãos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Fabricante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John Deere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Modelo / Frota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S540 — Frota 12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Horímetro do motor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3.412,5 h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Data da inspeção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04/08/2026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Local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Oficina Fazenda Santa Rita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Carlos Mendes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52514E"/>
                <w:sz w:val="19"/>
                <w:szCs w:val="19"/>
              </w:rPr>
              <w:t xml:space="preserve">Localização (GPS)</w:t>
            </w:r>
          </w:p>
        </w:tc>
        <w:tc>
          <w:tcPr>
            <w:tcW w:type="dxa" w:w="6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B0B0B"/>
                <w:sz w:val="21"/>
                <w:szCs w:val="21"/>
              </w:rPr>
              <w:t xml:space="preserve">-22.078941, -54.792130</w:t>
            </w:r>
          </w:p>
        </w:tc>
      </w:tr>
    </w:tbl>
    <w:p>
      <w:pPr>
        <w:spacing w:after="160"/>
      </w:pP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2. Resumo da inspeção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Conformes</w:t>
            </w:r>
          </w:p>
          <w:p>
            <w:r>
              <w:rPr>
                <w:rFonts w:ascii="Arial" w:cs="Arial" w:eastAsia="Arial" w:hAnsi="Arial"/>
                <w:b/>
                <w:bCs/>
                <w:color w:val="1E7A34"/>
                <w:sz w:val="34"/>
                <w:szCs w:val="34"/>
              </w:rPr>
              <w:t xml:space="preserve">24</w:t>
            </w:r>
          </w:p>
        </w:tc>
        <w:tc>
          <w:tcPr>
            <w:tcW w:type="dxa" w:w="225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Não conformes</w:t>
            </w:r>
          </w:p>
          <w:p>
            <w:r>
              <w:rPr>
                <w:rFonts w:ascii="Arial" w:cs="Arial" w:eastAsia="Arial" w:hAnsi="Arial"/>
                <w:b/>
                <w:bCs/>
                <w:color w:val="8A5A00"/>
                <w:sz w:val="34"/>
                <w:szCs w:val="34"/>
              </w:rPr>
              <w:t xml:space="preserve">2</w:t>
            </w:r>
          </w:p>
        </w:tc>
        <w:tc>
          <w:tcPr>
            <w:tcW w:type="dxa" w:w="225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Críticos</w:t>
            </w:r>
          </w:p>
          <w:p>
            <w:r>
              <w:rPr>
                <w:rFonts w:ascii="Arial" w:cs="Arial" w:eastAsia="Arial" w:hAnsi="Arial"/>
                <w:b/>
                <w:bCs/>
                <w:color w:val="A32E23"/>
                <w:sz w:val="34"/>
                <w:szCs w:val="34"/>
              </w:rPr>
              <w:t xml:space="preserve">1</w:t>
            </w:r>
          </w:p>
        </w:tc>
        <w:tc>
          <w:tcPr>
            <w:tcW w:type="dxa" w:w="2250"/>
            <w:shd w:fill="F6F8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2514E"/>
                <w:sz w:val="19"/>
                <w:szCs w:val="19"/>
              </w:rPr>
              <w:t xml:space="preserve">Não se aplica</w:t>
            </w:r>
          </w:p>
          <w:p>
            <w:r>
              <w:rPr>
                <w:rFonts w:ascii="Arial" w:cs="Arial" w:eastAsia="Arial" w:hAnsi="Arial"/>
                <w:b/>
                <w:bCs/>
                <w:color w:val="898781"/>
                <w:sz w:val="34"/>
                <w:szCs w:val="34"/>
              </w:rPr>
              <w:t xml:space="preserve">3</w:t>
            </w:r>
          </w:p>
        </w:tc>
      </w:tr>
    </w:tbl>
    <w:p>
      <w:pPr>
        <w:spacing w:after="160"/>
      </w:pP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3. Painel visual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885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0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r>
        <w:br w:type="page"/>
      </w: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4. Itens críticos e não conformes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600"/>
        <w:gridCol w:w="4200"/>
      </w:tblGrid>
      <w:tr>
        <w:trPr>
          <w:tblHeader/>
        </w:trPr>
        <w:tc>
          <w:tcPr>
            <w:tcW w:type="dxa" w:w="18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4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Rodados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Desgaste dos pneus ou esteiras</w:t>
            </w:r>
          </w:p>
        </w:tc>
        <w:tc>
          <w:tcPr>
            <w:tcW w:type="dxa" w:w="1600"/>
            <w:shd w:fill="FBE0D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E23"/>
                <w:sz w:val="20"/>
                <w:szCs w:val="20"/>
              </w:rPr>
              <w:t xml:space="preserve">Crítico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Pneu traseiro direito com desgaste irregular e corte visível na banda de rodagem — risco de estouro.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Sistema hidráulico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Mangueiras e conexões</w:t>
            </w:r>
          </w:p>
        </w:tc>
        <w:tc>
          <w:tcPr>
            <w:tcW w:type="dxa" w:w="1600"/>
            <w:shd w:fill="FBF0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Não conforme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Pequeno vazamento na conexão do cilindro da plataforma, sem gotejamento constante.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Motor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Filtro de ar</w:t>
            </w:r>
          </w:p>
        </w:tc>
        <w:tc>
          <w:tcPr>
            <w:tcW w:type="dxa" w:w="1600"/>
            <w:shd w:fill="FBF0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Não conforme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Filtro com acúmulo de poeira acima do recomendado, ainda dentro do prazo de troca.</w:t>
            </w:r>
          </w:p>
        </w:tc>
      </w:tr>
    </w:tbl>
    <w:p>
      <w:pPr>
        <w:spacing w:after="160"/>
      </w:pP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5. Fotos registradas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Motor — Nível de óleo (Conforme)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2514E"/>
                <w:sz w:val="16"/>
                <w:szCs w:val="16"/>
              </w:rPr>
              <w:t xml:space="preserve">Rodados — Desgaste do pneu (Crítico)</w:t>
            </w:r>
          </w:p>
        </w:tc>
      </w:tr>
    </w:tbl>
    <w:p>
      <w:pPr>
        <w:spacing w:after="160"/>
      </w:pPr>
    </w:p>
    <w:p>
      <w:pPr>
        <w:pBdr>
          <w:bottom w:val="single" w:color="0038D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038DC"/>
          <w:sz w:val="30"/>
          <w:szCs w:val="30"/>
        </w:rPr>
        <w:t xml:space="preserve">6. Checklist completo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2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shd w:fill="003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Motor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Nível de óleo do motor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Motor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Filtro de óleo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Motor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Filtro de ar</w:t>
            </w:r>
          </w:p>
        </w:tc>
        <w:tc>
          <w:tcPr>
            <w:tcW w:type="dxa" w:w="2400"/>
            <w:shd w:fill="FBF0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Não 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Motor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Correias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Motor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Radiador / arrefecimento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Motor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Vazamentos aparentes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Sistema hidráulico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Nível de fluido hidráulico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Sistema hidráulico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Mangueiras e conexões</w:t>
            </w:r>
          </w:p>
        </w:tc>
        <w:tc>
          <w:tcPr>
            <w:tcW w:type="dxa" w:w="2400"/>
            <w:shd w:fill="FBF0D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Não conforme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Sistema hidráulico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Cilindros hidráulicos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Sistema hidráulico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Vazamentos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Plataforma de corte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Facas / navalhas de corte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Plataforma de corte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Molinete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Rodados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Pressão / estado dos pneus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Rodados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Desgaste dos pneus ou esteiras</w:t>
            </w:r>
          </w:p>
        </w:tc>
        <w:tc>
          <w:tcPr>
            <w:tcW w:type="dxa" w:w="2400"/>
            <w:shd w:fill="FBE0D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E23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Rodados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Rolamentos e cubos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Cabine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Cintos de segurança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Cabine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Extintor de incêndio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4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200"/>
            <w:shd w:fill="F6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0B0B"/>
                <w:sz w:val="20"/>
                <w:szCs w:val="20"/>
              </w:rPr>
              <w:t xml:space="preserve">Buzina de ré</w:t>
            </w:r>
          </w:p>
        </w:tc>
        <w:tc>
          <w:tcPr>
            <w:tcW w:type="dxa" w:w="2400"/>
            <w:shd w:fill="DFF3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7A34"/>
                <w:sz w:val="20"/>
                <w:szCs w:val="20"/>
              </w:rPr>
              <w:t xml:space="preserve">Conforme</w:t>
            </w:r>
          </w:p>
        </w:tc>
      </w:tr>
    </w:tbl>
    <w:p>
      <w:pPr>
        <w:spacing w:after="200"/>
      </w:pPr>
    </w:p>
    <w:p>
      <w:r>
        <w:rPr>
          <w:rFonts w:ascii="Arial" w:cs="Arial" w:eastAsia="Arial" w:hAnsi="Arial"/>
          <w:i/>
          <w:iCs/>
          <w:color w:val="52514E"/>
          <w:sz w:val="16"/>
          <w:szCs w:val="16"/>
        </w:rPr>
        <w:t xml:space="preserve">Relatório gerado automaticamente pelo sistema Nempa Tech de Checklist de Manutenção.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14E"/>
        <w:sz w:val="16"/>
        <w:szCs w:val="16"/>
      </w:rPr>
      <w:t xml:space="preserve">NEMPATECH — Relatório de ensaio · 31/07/2026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8c3c88aa14830fbddb6b60b8e1579e4f01d0b2d.png"/><Relationship Id="rId9" Type="http://schemas.openxmlformats.org/officeDocument/2006/relationships/image" Target="media/22f52c2806d28b7310d91f71abf28d8b62f07d7f.png"/><Relationship Id="rId10" Type="http://schemas.openxmlformats.org/officeDocument/2006/relationships/image" Target="media/b941e6e29a9611701447ab803266c38d809e4e22.png"/><Relationship Id="rId11" Type="http://schemas.openxmlformats.org/officeDocument/2006/relationships/image" Target="media/be38202615da2b9e50835d37889be6c8db100d60.jpg"/><Relationship Id="rId12" Type="http://schemas.openxmlformats.org/officeDocument/2006/relationships/image" Target="media/8045c9495884630b20a21759f4f67cf24e3555ba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2026-07-31T22:49:34.704Z</dcterms:created>
  <dcterms:modified xsi:type="dcterms:W3CDTF">2026-07-31T22:49:34.705Z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