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 Workbench - Functional Requirements Specification (FRS) v1.0</w:t>
      </w:r>
    </w:p>
    <w:p>
      <w:pPr>
        <w:pStyle w:val="Heading1"/>
      </w:pPr>
      <w:r>
        <w:t>Objective</w:t>
      </w:r>
    </w:p>
    <w:p>
      <w:r>
        <w:t>Support demand planning through forecasting, business-rule adjustments, traceability and governance.</w:t>
      </w:r>
    </w:p>
    <w:p>
      <w:pPr>
        <w:pStyle w:val="Heading1"/>
      </w:pPr>
      <w:r>
        <w:t>Modules</w:t>
      </w:r>
    </w:p>
    <w:p>
      <w:r>
        <w:t>Forecast Workbench, Collaboration Workbench, Publish Workbench.</w:t>
      </w:r>
    </w:p>
    <w:p>
      <w:pPr>
        <w:pStyle w:val="Heading1"/>
      </w:pPr>
      <w:r>
        <w:t>MVP Scope</w:t>
      </w:r>
    </w:p>
    <w:p>
      <w:r>
        <w:t>4W segment, Forecastable items, ~1000 Planning Units.</w:t>
      </w:r>
    </w:p>
    <w:p>
      <w:pPr>
        <w:pStyle w:val="Heading1"/>
      </w:pPr>
      <w:r>
        <w:t>Planning Levels</w:t>
      </w:r>
    </w:p>
    <w:p>
      <w:r>
        <w:t>Segment, Market, Sector, Family, SKU, Customer Type, Customer.</w:t>
      </w:r>
    </w:p>
    <w:p>
      <w:pPr>
        <w:pStyle w:val="Heading1"/>
      </w:pPr>
      <w:r>
        <w:t>Planning Classification</w:t>
      </w:r>
    </w:p>
    <w:p>
      <w:r>
        <w:t>Forecastable, Non-Forecastable, No Classification.</w:t>
      </w:r>
    </w:p>
    <w:p>
      <w:pPr>
        <w:pStyle w:val="Heading1"/>
      </w:pPr>
      <w:r>
        <w:t>Tags</w:t>
      </w:r>
    </w:p>
    <w:p>
      <w:r>
        <w:t>Informational metadata such as Export, Warranty, Recall and New Model.</w:t>
      </w:r>
    </w:p>
    <w:p>
      <w:pPr>
        <w:pStyle w:val="Heading1"/>
      </w:pPr>
      <w:r>
        <w:t>Historical Demand</w:t>
      </w:r>
    </w:p>
    <w:p>
      <w:r>
        <w:t>24 months with optional IQR-based outlier treatment and winsorization.</w:t>
      </w:r>
    </w:p>
    <w:p>
      <w:pPr>
        <w:pStyle w:val="Heading1"/>
      </w:pPr>
      <w:r>
        <w:t>Forecast Horizon</w:t>
      </w:r>
    </w:p>
    <w:p>
      <w:r>
        <w:t>Default 36 months, configurable.</w:t>
      </w:r>
    </w:p>
    <w:p>
      <w:pPr>
        <w:pStyle w:val="Heading1"/>
      </w:pPr>
      <w:r>
        <w:t>Forecast Models</w:t>
      </w:r>
    </w:p>
    <w:p>
      <w:r>
        <w:t>ETS, Moving Average, Croston, Holt-Winters, Prophet and ARIMA.</w:t>
      </w:r>
    </w:p>
    <w:p>
      <w:pPr>
        <w:pStyle w:val="Heading1"/>
      </w:pPr>
      <w:r>
        <w:t>Metrics</w:t>
      </w:r>
    </w:p>
    <w:p>
      <w:r>
        <w:t>MAPE, APE and BIAS.</w:t>
      </w:r>
    </w:p>
    <w:p>
      <w:pPr>
        <w:pStyle w:val="Heading1"/>
      </w:pPr>
      <w:r>
        <w:t>Business Rules</w:t>
      </w:r>
    </w:p>
    <w:p>
      <w:r>
        <w:t>Previous Forecast Switch, Trend Overrides and Forecast Offset.</w:t>
      </w:r>
    </w:p>
    <w:p>
      <w:pPr>
        <w:pStyle w:val="Heading1"/>
      </w:pPr>
      <w:r>
        <w:t>Versioning</w:t>
      </w:r>
    </w:p>
    <w:p>
      <w:r>
        <w:t>Draft, Under Review, Approved and Published. One Published version per cycle.</w:t>
      </w:r>
    </w:p>
    <w:p>
      <w:pPr>
        <w:pStyle w:val="Heading1"/>
      </w:pPr>
      <w:r>
        <w:t>Audit</w:t>
      </w:r>
    </w:p>
    <w:p>
      <w:r>
        <w:t>Track creation, approval and publication information.</w:t>
      </w:r>
    </w:p>
    <w:p>
      <w:pPr>
        <w:pStyle w:val="Heading1"/>
      </w:pPr>
      <w:r>
        <w:t>Exports</w:t>
      </w:r>
    </w:p>
    <w:p>
      <w:r>
        <w:t>Excel and Access initially.</w:t>
      </w:r>
    </w:p>
    <w:p>
      <w:pPr>
        <w:pStyle w:val="Heading1"/>
      </w:pPr>
      <w:r>
        <w:t>Future Vision</w:t>
      </w:r>
    </w:p>
    <w:p>
      <w:r>
        <w:t>Forecast reconciliation, collaboration workflow, enrichment and AI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