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pacing w:val="20"/>
          <w:sz w:val="30"/>
          <w:szCs w:val="30"/>
        </w:rPr>
        <w:t xml:space="preserve">BUSINESS PROPOSAL</w:t>
      </w:r>
    </w:p>
    <w:p>
      <w:pPr>
        <w:spacing w:after="0" w:before="200"/>
        <w:jc w:val="center"/>
      </w:pPr>
      <w:r>
        <w:rPr>
          <w:b/>
          <w:bCs/>
          <w:color w:val="2E7D6B"/>
          <w:sz w:val="56"/>
          <w:szCs w:val="56"/>
        </w:rPr>
        <w:t xml:space="preserve">[APP NAME — TBD]</w:t>
      </w:r>
    </w:p>
    <w:p>
      <w:pPr>
        <w:spacing w:after="0" w:before="200"/>
        <w:jc w:val="center"/>
      </w:pPr>
      <w:r>
        <w:rPr>
          <w:i/>
          <w:iCs/>
          <w:color w:val="666666"/>
          <w:sz w:val="24"/>
          <w:szCs w:val="24"/>
        </w:rPr>
        <w:t xml:space="preserve">AI-Powered Budget Tracking &amp; Tax Readiness for Malaysians</w:t>
      </w:r>
    </w:p>
    <w:p>
      <w:pPr>
        <w:spacing w:after="1600" w:before="100"/>
        <w:jc w:val="center"/>
      </w:pPr>
      <w:r>
        <w:rPr>
          <w:i/>
          <w:iCs/>
          <w:color w:val="2E7D6B"/>
          <w:sz w:val="22"/>
          <w:szCs w:val="22"/>
        </w:rPr>
        <w:t xml:space="preserve">“Changing the way you spend — not just how you track it.”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Prepared for: [Business Partners / Investors]</w:t>
      </w:r>
    </w:p>
    <w:p>
      <w:pPr>
        <w:spacing w:after="0" w:before="60"/>
        <w:jc w:val="center"/>
      </w:pPr>
      <w:r>
        <w:rPr>
          <w:color w:val="666666"/>
          <w:sz w:val="20"/>
          <w:szCs w:val="20"/>
        </w:rPr>
        <w:t xml:space="preserve">Prepared by: [Your Name / Team]</w:t>
      </w:r>
    </w:p>
    <w:p>
      <w:pPr>
        <w:spacing w:after="0" w:before="60"/>
        <w:jc w:val="center"/>
      </w:pPr>
      <w:r>
        <w:rPr>
          <w:color w:val="666666"/>
          <w:sz w:val="20"/>
          <w:szCs w:val="20"/>
        </w:rPr>
        <w:t xml:space="preserve">Date: [Insert Date]  |  Version: 0.1 (Draft)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Write this section LAST, once the rest of the proposal is finalised. 1 page max. It should let a partner understand the whole business in under 2 minutes.</w:t>
      </w:r>
    </w:p>
    <w:p>
      <w:pPr>
        <w:spacing w:after="160"/>
      </w:pPr>
      <w:r>
        <w:t xml:space="preserve">[App Name] is a mobile-first budget tracking and tax-readiness app built for Malaysians. Unlike existing budgeting apps, which rely heavily on manual entry or on bank-account linking that is not yet reliably available in Malaysia, [App Name] uses GenAI to do the heavy lifting: users simply snap a photo of a receipt or forward an invoice email, confirm a few AI-generated prompts with a tap of “Yes/No”, and the app builds a consolidated, tax-ready view of their spending automatically.</w:t>
      </w:r>
    </w:p>
    <w:p>
      <w:pPr>
        <w:spacing w:after="160"/>
      </w:pPr>
      <w:r>
        <w:t xml:space="preserve">The product sits at the intersection of two underserved needs in Malaysia: (1) low-effort personal budgeting, and (2) year-round preparation for tax filing (LHDN e-Filing / relief claims), which today is a manual, receipt-hoarding exercise for most Malaysians.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Add: funding ask (if any), headline traction/goals, and the single most compelling reason a partner should say yes.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pStyle w:val="Heading2"/>
        <w:spacing w:after="150" w:before="300"/>
      </w:pPr>
      <w:r>
        <w:t xml:space="preserve">2.1 For everyday budgeting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expense tracking is tedious — most people abandon budgeting apps within the first month because logging every transaction by hand doesn't stick.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Malaysia does not yet have a mature open banking framework, so the “link your bank account and see everything automatically” model used by apps like Copilot or Monarch in the US isn't reliably possible here today.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Existing manual-entry apps (spreadsheets, basic trackers) put 100% of the effort on the user, so engagement drops off fast.</w:t>
      </w:r>
    </w:p>
    <w:p>
      <w:pPr>
        <w:pStyle w:val="Heading2"/>
        <w:spacing w:after="150" w:before="300"/>
      </w:pPr>
      <w:r>
        <w:t xml:space="preserve">2.2 For tax purposes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Malaysians eligible for LHDN tax reliefs (medical, education, lifestyle, etc.) typically keep physical receipts in a shoebox or scattered folders, then scramble every March–April to reconstruct a year of spending.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no consumer app in Malaysia today that treats “budgeting” and “tax preparation” as the same underlying data problem — solved once, at the point of purchase.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Add local stats if you have them or can find them — e.g. % of Malaysians who file taxes manually, average time spent on tax prep, survey/interview quotes from target users. This strengthens the “why now” case a lot.</w:t>
      </w:r>
    </w:p>
    <w:p>
      <w:pPr>
        <w:pStyle w:val="Heading1"/>
        <w:spacing w:after="200" w:before="400"/>
      </w:pPr>
      <w:r>
        <w:t xml:space="preserve">3. Value Proposition &amp; Tagline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Tagline (working): </w:t>
      </w:r>
      <w:r>
        <w:t xml:space="preserve">“Change the way you spend — not just how you track it.”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Core promise: </w:t>
      </w:r>
      <w:r>
        <w:t xml:space="preserve">Point your camera or forward an email — the AI does the categorising, you just confirm.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Differentiator vs. budgeting apps: </w:t>
      </w:r>
      <w:r>
        <w:t xml:space="preserve">Most competitors are either manual-entry-only, or require a bank link that doesn't work well in Malaysia yet. [App Name] is AI-input-first, so it works from day one without needing Malaysian open banking to mature.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Differentiator vs. tax tools: </w:t>
      </w:r>
      <w:r>
        <w:t xml:space="preserve">Tax reliefs are tracked continuously through the year, not reconstructed in a panic every filing season.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Draft 2–3 alternate taglines for partner discussion, e.g. one that leads with 'financial awareness' and one that leads with 'tax season, solved'.</w:t>
      </w:r>
    </w:p>
    <w:p>
      <w:pPr>
        <w:pStyle w:val="Heading1"/>
        <w:spacing w:after="200" w:before="400"/>
      </w:pPr>
      <w:r>
        <w:t xml:space="preserve">4. Target Market &amp; User Personas</w:t>
      </w:r>
    </w:p>
    <w:p>
      <w:pPr>
        <w:pStyle w:val="Heading2"/>
        <w:spacing w:after="150" w:before="300"/>
      </w:pPr>
      <w:r>
        <w:t xml:space="preserve">4.1 Primary segments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Young urban professionals (25–40): </w:t>
      </w:r>
      <w:r>
        <w:t xml:space="preserve">salaried, some tax reliefs to claim, want visibility without effort.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Freelancers / gig workers: </w:t>
      </w:r>
      <w:r>
        <w:t xml:space="preserve">irregular income, business-related expenses mixed with personal, higher pain around tax categorisation.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Families / household budget owners: </w:t>
      </w:r>
      <w:r>
        <w:t xml:space="preserve">want a consolidated view across multiple spenders and recurring bills.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Add a 4th persona if relevant to your partners, e.g. small business owners / sole proprietors who need expense receipts for SST/e-Invois purposes.</w:t>
      </w:r>
    </w:p>
    <w:p>
      <w:pPr>
        <w:pStyle w:val="Heading2"/>
        <w:spacing w:after="150" w:before="300"/>
      </w:pPr>
      <w:r>
        <w:t xml:space="preserve">4.2 Persona snapshot (example — replace with real research)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Recommended: run 5–10 short user interviews before finalising personas; investors respond well to primary research, not just assumptions.</w:t>
      </w:r>
    </w:p>
    <w:p>
      <w:pPr>
        <w:pStyle w:val="Heading1"/>
        <w:spacing w:after="200" w:before="400"/>
      </w:pPr>
      <w:r>
        <w:t xml:space="preserve">5. Market Analysis &amp; Competitive Landscape</w:t>
      </w:r>
    </w:p>
    <w:p>
      <w:pPr>
        <w:pStyle w:val="Heading2"/>
        <w:spacing w:after="150" w:before="300"/>
      </w:pPr>
      <w:r>
        <w:t xml:space="preserve">5.1 Why Malaysia is different from the US and Japan</w:t>
      </w:r>
    </w:p>
    <w:p>
      <w:pPr>
        <w:spacing w:after="160"/>
      </w:pPr>
      <w:r>
        <w:t xml:space="preserve">Both Copilot/Monarch (US) and Money Forward/Zaim/Moneytree (Japan) rely heavily on direct bank-account linking as the primary data source. Malaysia does not yet have this infrastructure at consumer scale: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Negara Malaysia (BNM) has an Open API policy, but today it mostly publishes static product data, not live consented transaction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proper Open Finance framework (which would enable Plaid-style account linking) is still being developed, with meaningful bank-data access likely years away at consumer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actually a strategic opening: [App Name] can win on the AI-input layer (receipts, email invoices, and user-uploaded statements) while competitors elsewhere have optimised almost entirely for bank-linked automation, an approach that doesn't transfer cleanly to Malaysia yet.</w:t>
      </w:r>
    </w:p>
    <w:p>
      <w:pPr>
        <w:pStyle w:val="Heading2"/>
        <w:spacing w:after="150" w:before="300"/>
      </w:pPr>
      <w:r>
        <w:t xml:space="preserve">5.2 Feature benchmark — US &amp; Japan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600"/>
        <w:gridCol w:w="1500"/>
        <w:gridCol w:w="2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/ Market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Bank Linking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Receipt Scan (AI)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Email/Invoice Detection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Tax-Ready Output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Copilot Money (US)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(Plaid)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Polished UI, iOS-only, learns from manual corrections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Monarch Money (US)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(Plaid)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(LLM-assisted)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 for couples/shared budgets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Rocket Money (US)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(Plaid)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Best-in-class subscription detection &amp; cancellation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YNAB (US)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(optional)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Zero-based budgeting method, manual-entry friendly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Zaim (Japan)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(JP banks)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 (export)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Kakeibo tradition, strong receipt OCR for cash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Money Forward ME (Japan)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(2,500+ FIs)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(AI-OCR)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(invoice service, B2B)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(B2B tier)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Broadest FI coverage in Japan; separate invoice product for tax/e-Invoice compliance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Moneytree (Japan)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(99% of JPFIs)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(AI categorisation)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English support for foreigners in Japan</w:t>
            </w:r>
          </w:p>
        </w:tc>
      </w:tr>
      <w:tr>
        <w:trPr>
          <w:tblHeader w:val="false"/>
        </w:trPr>
        <w:tc>
          <w:tcPr>
            <w:tcW w:type="dxa" w:w="18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[App Name] (proposed)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Statement upload now; live linking later</w:t>
            </w:r>
          </w:p>
        </w:tc>
        <w:tc>
          <w:tcPr>
            <w:tcW w:type="dxa" w:w="1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core flow</w:t>
            </w:r>
          </w:p>
        </w:tc>
        <w:tc>
          <w:tcPr>
            <w:tcW w:type="dxa" w:w="16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Gmail detection</w:t>
            </w:r>
          </w:p>
        </w:tc>
        <w:tc>
          <w:tcPr>
            <w:tcW w:type="dxa" w:w="1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built for LHDN reliefs</w:t>
            </w:r>
          </w:p>
        </w:tc>
        <w:tc>
          <w:tcPr>
            <w:tcW w:type="dxa" w:w="26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AI-input-first strategy designed around Malaysia's current infrastructure gap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5.3 Malaysian competitors</w:t>
      </w:r>
    </w:p>
    <w:p>
      <w:pPr>
        <w:spacing w:after="160"/>
      </w:pPr>
      <w:r>
        <w:t xml:space="preserve">A quick market scan surfaced several Malaysian players worth being aware of — most notably CukaiMax, which already does receipt-to-LHDN-relief categorisation. This validates the tax-relief angle as a real, wanted use case, but also means the proposal should be explicit about how [App Name] differentiates (full budgeting + consolidated multi-source tracking + AI chat assistant + anomaly detection, not just tax-relief capture).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600"/>
        <w:gridCol w:w="2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vs. [App Name]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Ryt Bank (Ryt AI / Ryt Insights)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AI-native digital bank (YTL + Sea)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Chat-based banking, real-time spending notifications, smart categorisation of transactions within its own bank account only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sees money that moves through Ryt Bank itself — no receipt capture, no external e-wallet/bank consolidation, no tax-relief mapping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Maybank MAE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Bank-native budgeting tool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Basic budgeting/spend tracking inside Malaysia's largest bank's e-wallet app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Single-bank view only; no AI receipt capture, no tax features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Rakyat TouchStyle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Bank-native budgeting tool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Budget tracker bundled inside a bank's own app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limitation — tied to one institution, no cross-platform consolidation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iMoney Budget Planner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planning tool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Web-based budget planner/checklist, not a live tracking app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Manual-entry only, not app-based, no AI or tax linkage</w:t>
            </w:r>
          </w:p>
        </w:tc>
      </w:tr>
      <w:tr>
        <w:trPr>
          <w:tblHeader w:val="false"/>
        </w:trPr>
        <w:tc>
          <w:tcPr>
            <w:tcW w:type="dxa" w:w="22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CukaiMax</w:t>
            </w:r>
          </w:p>
        </w:tc>
        <w:tc>
          <w:tcPr>
            <w:tcW w:type="dxa" w:w="20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competitor — tax-focused</w:t>
            </w:r>
          </w:p>
        </w:tc>
        <w:tc>
          <w:tcPr>
            <w:tcW w:type="dxa" w:w="36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Scans receipts and automatically categorises them into LHDN relief categories</w:t>
            </w:r>
          </w:p>
        </w:tc>
        <w:tc>
          <w:tcPr>
            <w:tcW w:type="dxa" w:w="26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Closest existing match to the tax side of this proposal — validates the concept, but appears narrower (tax-relief capture) than the full budgeting + tax dashboard + AI assistant vision here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JomeInvoice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B2B e-Invoice compliance tool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Generates and submits LHDN-compliant e-Invoices for businesses via MyInvois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Business/e-Invoice focused, not a consumer budgeting app — relevant mainly as a future integration reference for e-Invois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Recommend doing a hands-on trial of CukaiMax and Ryt Bank before finalising your pitch — partners will likely ask 'how is this different from CukaiMax/Ryt' directly, so having a crisp, tested answer matters.</w:t>
      </w:r>
    </w:p>
    <w:p>
      <w:pPr>
        <w:pStyle w:val="Heading1"/>
        <w:spacing w:after="200" w:before="400"/>
      </w:pPr>
      <w:r>
        <w:t xml:space="preserve">6. Product Features</w:t>
      </w:r>
    </w:p>
    <w:p>
      <w:pPr>
        <w:pStyle w:val="Heading2"/>
        <w:spacing w:after="150" w:before="300"/>
      </w:pPr>
      <w:r>
        <w:t xml:space="preserve">6.1 Core MVP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AI receipt capture &amp; confirmation: </w:t>
      </w:r>
      <w:r>
        <w:t xml:space="preserve">user photographs a receipt; GenAI extracts merchant, amount, date, category and asks simple Yes/No confirmation questions rather than requiring manual form-filling.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Email/invoice detection (Gmail): </w:t>
      </w:r>
      <w:r>
        <w:t xml:space="preserve">app scans connected inbox for receipts/invoices (e.g. Shopee, Apple, Grab order confirmations), consolidates them, and surfaces a review pop-up the next time the user opens the app — no manual searching through email.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Manual statement upload (PDF/CSV): </w:t>
      </w:r>
      <w:r>
        <w:t xml:space="preserve">users can upload bank or e-wallet statements (e.g. Touch 'n Go eWallet, GrabPay, credit card PDF statements) they've exported themselves. AI parses line items into the same structured record as a receipt. See Section 9.2 for why this is the more feasible near-term substitute for live bank linking in Malaysia.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Recurring payment tracking: </w:t>
      </w:r>
      <w:r>
        <w:t xml:space="preserve">once a merchant/amount pattern repeats (e.g. monthly Netflix, insurance premium), the app auto-tags it as recurring and shows it in a dedicated recurring-payments view, without needing a live bank feed — built from the same receipt/email/statement data already being captured.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Consolidated dashboard: </w:t>
      </w:r>
      <w:r>
        <w:t xml:space="preserve">PowerBI-style visual breakdown (spending “circles”/donut charts, trends over time, category breakdowns) designed for at-a-glance financial awareness rather than spreadsheet-style detail.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Private local + cloud storage: </w:t>
      </w:r>
      <w:r>
        <w:t xml:space="preserve">receipts, statements and derived data stored locally on-device by default, with optional encrypted cloud backup for cross-device access and later retrieval — all stored privately to the user, never shared without consent.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Tax-relief mapping: </w:t>
      </w:r>
      <w:r>
        <w:t xml:space="preserve">expenses auto-tagged against current LHDN relief categories (medical, education, lifestyle, etc.) as they're captured, not reconstructed later. See Section 9.3 on sourcing relief rules from the official LHDN site.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Budgets &amp; alerts: </w:t>
      </w:r>
      <w:r>
        <w:t xml:space="preserve">category-level budgets with proactive notifications when nearing/exceeding a limit.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Anomaly / exception highlighting: </w:t>
      </w:r>
      <w:r>
        <w:t xml:space="preserve">the app learns each user's typical spending pattern per category and flags outliers — unusually large transactions, unrecognised merchants, or duplicate-looking charges — in a dedicated review page, rather than burying them in the main feed.</w:t>
      </w:r>
    </w:p>
    <w:p>
      <w:pPr>
        <w:pStyle w:val="Heading2"/>
        <w:spacing w:after="150" w:before="300"/>
      </w:pPr>
      <w:r>
        <w:t xml:space="preserve">6.2 AI-driven differentiators (inspired by US/Japan leaders, adapted for MY)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Subscription &amp; recurring charge detection: </w:t>
      </w:r>
      <w:r>
        <w:t xml:space="preserve">inspired by Rocket Money — flag forgotten recurring charges detected from receipts/invoices/statements, even without a bank feed.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Behavioural learning categorisation: </w:t>
      </w:r>
      <w:r>
        <w:t xml:space="preserve">inspired by Copilot Money — AI improves categorisation accuracy from the user's manual corrections over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Conversational AI assistant page: </w:t>
      </w:r>
      <w:r>
        <w:t xml:space="preserve">inspired by Cleo/Monarch's AI chat and Ryt Bank's Ryt AI — users can ask natural-language questions (“How much did I spend on food this month?”, “Am I on track for my tax reliefs?”) and get proactive suggestions on where they could save or what they still have lifestyle-relief budget to spend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Year-end tax pack export: </w:t>
      </w:r>
      <w:r>
        <w:t xml:space="preserve">inspired by Money Forward's invoice/tax product in Japan — one-tap export that consolidates the year's categorised, receipt-backed records into a single file/folder ready for LHDN e-Filing or a tax agent.</w:t>
      </w:r>
    </w:p>
    <w:p>
      <w:pPr>
        <w:pStyle w:val="Heading2"/>
        <w:spacing w:after="150" w:before="300"/>
      </w:pPr>
      <w:r>
        <w:t xml:space="preserve">6.3 Possible future / stretch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bank account linking once Malaysia's Open Finance framework matures (Phase 2/3 roadmap item, not MVP).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Shared/family budgets with multiple contributors (inspired by Monarch's couples features).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Multi-currency support for travel spending.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Loyalty point tracking — a Malaysia-specific equivalent to Moneytree's e-money tracking in Japan.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Bill negotiation / subscription cancellation concierge (inspired by Rocket Money) — longer-term, would need local telco/utility partnerships.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 worth / investment tracking (EPF, ASB, unit trusts, stocks) for a fuller financial picture.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SME/sole-proprietor mode for e-Invois-compliant expense capture.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Prioritise this list with your partners — recommend picking no more than 3–4 'stretch' items for a v1.5/v2 roadmap so the MVP scope doesn't balloon.</w:t>
      </w:r>
    </w:p>
    <w:p>
      <w:pPr>
        <w:pStyle w:val="Heading1"/>
        <w:spacing w:after="200" w:before="400"/>
      </w:pPr>
      <w:r>
        <w:t xml:space="preserve">7. App Structure / Information Architecture</w:t>
      </w:r>
    </w:p>
    <w:p>
      <w:pPr>
        <w:spacing w:after="160"/>
      </w:pPr>
      <w:r>
        <w:t xml:space="preserve">A first-cut page list to structure the customer journey and wireframes around. Recommend validating this list and ordering with your partners before wireframing.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Landing page (pre-login)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 proposition, tagline, security/trust messaging, sign-up CTA — first impression for both users and partners viewing a demo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Onboarding / profile questionnaire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Captures basics needed to personalise tax-relief matching and budgets: marital status, dependents/children, employment type, rough income bracket, existing insurance/EPF status, etc.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Home dashboard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spending overview: budget vs. actual, category breakdown ('circles'), recent AI-flagged items awaiting confirmation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 / review queue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receipt photos, forwarded emails, and uploaded statements land for AI-proposed field confirmation (Yes/No + edit)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Recurring payments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Auto-detected subscriptions and recurring bills, with trend/price-change flags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Exceptions &amp; anomalies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Unusual transactions, unrecognised merchants, possible duplicates — surfaced for user review against their learned average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 dashboard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Spend-to-date per LHDN relief category, shown visually (e.g. progress circles per category), remaining claimable headroom, and a one-tap 'generate tax pack' action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assistant / chatbot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Conversational page for spending insights, savings suggestions, and 'what else can I still claim/spend on' guidance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Receipts repository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Searchable archive of all captured receipts/statements/invoices, stored privately, retained per LHDN's 7-year documentation guidance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Settings &amp; consent centre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connected accounts (Gmail, cloud sync), data retention, and privacy permissions in one place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8. AI Agent Workflow (Overview)</w:t>
      </w:r>
    </w:p>
    <w:p>
      <w:pPr>
        <w:spacing w:after="160"/>
      </w:pPr>
      <w:r>
        <w:t xml:space="preserve">At the core of the product is a single AI agent workflow that all input sources feed into, so receipts, statements, and emails are all normalised into the same downstream data model: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Trigger — manual photo/PDF upload (receipt or bank/e-wallet statement) OR an incoming email detected in the connected inbox.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Capture — AI extracts structured fields from the document (vendor, date, amount, category, and, where applicable, an LHDN relief tag).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Propose — the AI presents the extracted fields back to the user as a simple confirmation (“Is this correct?” Yes/No, with the option to edit any field — this is the exception-handling path).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Store — once confirmed, the source document (image/PDF) is saved to the user's private cloud repository, and the structured fields are written to an internal record store (conceptually similar to a structured spreadsheet/database row per receipt).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Aggregate — confirmed records feed the spending dashboard, the recurring-payments view, the anomaly/exception detector (by comparing against the user's learned averages), and the tax dashboard simultaneously.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Retrieve — at any time, and especially at tax season, the user can pull a consolidated, categorised export (a generated folder/file of receipts + a summary sheet) ready for LHDN e-Filing or a tax agent.</w:t>
      </w:r>
    </w:p>
    <w:p>
      <w:pPr>
        <w:spacing w:after="160"/>
      </w:pPr>
      <w:r>
        <w:t xml:space="preserve">Example of the structured fields captured per record (illustrative — exact schema to be finalised with engineering):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 ID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RCPT-2026-000482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/ trigger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Receipt photo / Gmail invoice / Uploaded statement line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 / merchant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Shopee, Apple, Guardian Pharmacy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2026-07-03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RM 128.50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Lifestyle / Medical / Groceries …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LHDN relief tag (if applicable)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Lifestyle relief — RM2,500 cap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Confirmation status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 by user / Pending / Flagged as exception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receipt repository reference (file link)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A visual data flow diagram is included separately alongside this proposal to make this workflow easy to present to partners.</w:t>
      </w:r>
    </w:p>
    <w:p>
      <w:pPr>
        <w:pStyle w:val="Heading1"/>
        <w:spacing w:after="200" w:before="400"/>
      </w:pPr>
      <w:r>
        <w:t xml:space="preserve">9. AI &amp; Technology Architecture, Feasibility &amp; Open-Source Options</w:t>
      </w:r>
    </w:p>
    <w:p>
      <w:pPr>
        <w:pStyle w:val="Heading2"/>
        <w:spacing w:after="150" w:before="300"/>
      </w:pPr>
      <w:r>
        <w:t xml:space="preserve">9.1 Pipeline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Receipt/statement capture pipeline: camera/photo or PDF input → OCR → LLM structuring (merchant, line items, amount, tax, category) → confirmation prompt to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ingestion pipeline: Gmail API (read-only, consented) → invoice/receipt detection → parsing → consolidated review pop-up shown on app open.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Storage: on-device local storage by default; encrypted cloud backup/sync for premium tier and multi-device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Dashboard/analytics layer: aggregation engine feeding chart/visualisation components (spend by category, trend over time, tax-relief progress, anomaly scoring against historical averages).</w:t>
      </w:r>
    </w:p>
    <w:p>
      <w:pPr>
        <w:pStyle w:val="Heading2"/>
        <w:spacing w:after="150" w:before="300"/>
      </w:pPr>
      <w:r>
        <w:t xml:space="preserve">9.2 Feasibility: bank/e-wallet statement upload vs. live linking</w:t>
      </w:r>
    </w:p>
    <w:p>
      <w:pPr>
        <w:spacing w:after="160"/>
      </w:pPr>
      <w:r>
        <w:t xml:space="preserve">Since live bank-account linking isn't reliably available in Malaysia yet (Section 5.1), manual statement upload is a genuinely feasible substitute worth prioritising for MVP: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 Malaysian banks and e-wallets (including Touch 'n Go eWallet and Grab) already let users export a PDF or CSV transaction history from within their own app — this is a standard, existing feature the user controls, not a new integration your team needs to build with each bank.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sidesteps needing BNM/Open Finance approval entirely: the user is the one exporting and uploading their own data, which is a materially different (and simpler) trust and compliance model than an automated API pulling data on the user's behalf.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Trade-off: it's not real-time, and format/layout will vary by bank/e-wallet, so the AI parser needs to be layout-flexible (see 9.4) and will need ongoing maintenance as banks change their statement formats.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validating this with a handful of real exported statements from major banks/e-wallets (Maybank, CIMB, Public Bank, TNG eWallet, GrabPay) early, since layout variability is the main technical risk here.</w:t>
      </w:r>
    </w:p>
    <w:p>
      <w:pPr>
        <w:pStyle w:val="Heading2"/>
        <w:spacing w:after="150" w:before="300"/>
      </w:pPr>
      <w:r>
        <w:t xml:space="preserve">9.3 Feasibility: sourcing LHDN tax-relief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LHDN publishes its official, current tax-relief categories and caps at hasil.gov.my (Lembaga Hasil Dalam Negeri Malaysia). This should be the authoritative source the AI/relief-mapping logic is checked against, rather than third-party summaries, since relief categories and caps change by Year of Assessment.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Recommended approach: maintain an internally-curated, versioned relief-rules table (updated once a year when LHDN publishes new YA figures) rather than having the AI scrape the site live on every request — more reliable, auditable, and avoids the app giving wrong relief amounts if a scrape fails or the page structure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AI's job is then to map a confirmed expense to the correct relief category from that curated table (e.g. “medical device” → which relief bucket, if any) — this categorisation step is the harder, genuinely AI-assisted part; the underlying figures themselves should not be AI-generated.</w:t>
      </w:r>
    </w:p>
    <w:p>
      <w:pPr>
        <w:pStyle w:val="Heading2"/>
        <w:spacing w:after="150" w:before="300"/>
      </w:pPr>
      <w:r>
        <w:t xml:space="preserve">9.4 Feasibility: OCR &amp; chatbot — open-source options</w:t>
      </w:r>
    </w:p>
    <w:p>
      <w:pPr>
        <w:spacing w:after="160"/>
      </w:pPr>
      <w:r>
        <w:t xml:space="preserve">You mentioned wanting to explore open-source options. Realistic picture: the model weights are free, but self-hosting them still costs GPU infrastructure — so “open-source” mainly saves on per-page/per-token API fees at scale, not on infrastructure entirely. A hybrid approach is the most practical for a startup: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Traditional OCR (fast, cheap, good for clean text): </w:t>
      </w:r>
      <w:r>
        <w:t xml:space="preserve">Tesseract or PaddleOCR — both free, open-source, well-suited to clean, well-lit receipt photos.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Open-source vision-LLMs (better for messy/angled receipts, handwriting, mixed layouts): </w:t>
      </w:r>
      <w:r>
        <w:t xml:space="preserve">Qwen2.5-VL or dots.ocr — open-weight models that can be self-hosted; stronger at irregular receipt layouts than traditional OCR, at the cost of needing GPU hosting.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Commercial OCR APIs (fallback for hard cases): </w:t>
      </w:r>
      <w:r>
        <w:t xml:space="preserve">e.g. Mistral OCR — useful as a fallback tier for documents the open-source stack struggles with, billed per page, so best used selectively rather than for every scan.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Chatbot / AI assistant: </w:t>
      </w:r>
      <w:r>
        <w:t xml:space="preserve">an open-weight LLM (e.g. Llama or Mistral family) self-hosted or accessed via a lower-cost inference provider can power the conversational assistant; alternatively, a commercial LLM API can be used for MVP speed and swapped later once usage patterns (and cost sensitivity) are clearer.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Recommended MVP approach: </w:t>
      </w:r>
      <w:r>
        <w:t xml:space="preserve">tier the pipeline — cheap/fast open-source OCR first, escalate to a stronger model only when confidence is low — and always keep the human Yes/No confirmation step regardless of which model produced the extraction, since even the best models can misread a total or hallucinate a field.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This is a build-vs-buy decision your engineering lead should weigh once you have rough volume estimates (receipts/statements processed per user per month) — happy to help sketch a cost comparison (self-hosted GPU vs. commercial API pricing) once you have that estimate.</w:t>
      </w:r>
    </w:p>
    <w:p>
      <w:pPr>
        <w:pStyle w:val="Heading1"/>
        <w:spacing w:after="200" w:before="400"/>
      </w:pPr>
      <w:r>
        <w:t xml:space="preserve">10. Data Privacy &amp;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 with Malaysia's Personal Data Protection Act (PDPA) for handling financial and personal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Explicit, granular consent flows for Gmail access, receipt storage, and any cloud sync — users should be able to see and revoke permissions easily.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data retention and deletion policy, especially for tax records which may need multi-year retention (LHDN generally expects supporting documents kept for 7 years).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Security: encryption at rest and in transit; local-first storage reduces breach exposure relative to bank-linked competitors, which is a genuine trust-building selling 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Bank/e-wallet statement uploads carry extra sensitivity (account numbers, full transaction history) — recommend masking/redacting account numbers on capture and never storing full account numbers unmasked.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Recommend getting a legal review of the Gmail-scanning, statement-upload, and receipt-storage consent flows before launch — this is the most sensitive part of the product from a trust and regulatory standpoint.</w:t>
      </w:r>
    </w:p>
    <w:p>
      <w:pPr>
        <w:pStyle w:val="Heading1"/>
        <w:spacing w:after="200" w:before="400"/>
      </w:pPr>
      <w:r>
        <w:t xml:space="preserve">11. Malaysia-Specific Market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Open banking is not yet mature: </w:t>
      </w:r>
      <w:r>
        <w:t xml:space="preserve">BNM's Open API framework currently focuses on static data; consented live account access will only come under a future Open Finance framework, expected to develop over the next few years. This validates the AI-input-first approach as the right MVP strategy for Malaysia, rather than a workaround.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Consumer trust in data-sharing: </w:t>
      </w:r>
      <w:r>
        <w:t xml:space="preserve">Malaysians have shown some wariness toward data-sharing apps in the past; onboarding and consent UX should over-communicate what is/isn't shared and why.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Tax filing season timing: </w:t>
      </w:r>
      <w:r>
        <w:t xml:space="preserve">LHDN e-Filing typically runs March–April/May; go-to-market and feature pushes (e.g. “year-end tax pack”) should be timed around this window.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E-Invois rollout: </w:t>
      </w:r>
      <w:r>
        <w:t xml:space="preserve">Malaysia's national e-Invoicing initiative is being phased in for businesses — worth monitoring as a future integration point (e.g. auto-ingesting e-Invois-format receipts) and as a potential SME-facing feature.</w:t>
      </w:r>
    </w:p>
    <w:p>
      <w:pPr>
        <w:pStyle w:val="Heading1"/>
        <w:spacing w:after="200" w:before="400"/>
      </w:pPr>
      <w:r>
        <w:t xml:space="preserve">12. Monetisation Model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Recommend a freemium model, based on how most competitors in the US (Rocket Money, Copilot, Monarch) and Japan (Zaim, Money Forward) are priced. Fill in your actual pricing after validating willingness-to-pay locally.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Free tier: </w:t>
      </w:r>
      <w:r>
        <w:t xml:space="preserve">manual + AI receipt capture, basic dashboard, limited monthly AI confirmations.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Premium tier (subscription): </w:t>
      </w:r>
      <w:r>
        <w:t xml:space="preserve">unlimited AI capture, email/invoice detection, full tax-relief mapping &amp; year-end export, cloud sync, advanced analytics.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Possible B2B angle: </w:t>
      </w:r>
      <w:r>
        <w:t xml:space="preserve">partnerships with accounting firms / tax agents who could offer the app (or a pro version) to their individual clients as a receipt-collection tool.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Add pricing figures once benchmarked — for reference, comparable overseas apps range roughly USD 60–170/year (~RM 280–800/year); local pricing should be benchmarked against Malaysian willingness-to-pay, not copied directly.</w:t>
      </w:r>
    </w:p>
    <w:p>
      <w:pPr>
        <w:pStyle w:val="Heading1"/>
        <w:spacing w:after="200" w:before="400"/>
      </w:pPr>
      <w:r>
        <w:t xml:space="preserve">13. Go-to-Market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 timed ahead of LHDN tax season to capture the seasonal spike in 'I wish I'd tracked this all year' intent.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Partnerships with accounting firms, tax agents, or HR/payroll platforms for distribution.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marketing around financial literacy and tax-relief awareness (a genuine knowledge gap for many Malaysians).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Referral program leveraging the family/household budgeting use case.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Recommend adding specific channel budget/CAC assumptions once you have more clarity on funding — partners will likely ask for this.</w:t>
      </w:r>
    </w:p>
    <w:p>
      <w:pPr>
        <w:pStyle w:val="Heading1"/>
        <w:spacing w:after="200" w:before="400"/>
      </w:pPr>
      <w:r>
        <w:t xml:space="preserve">14. Roadmap / Phases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receipt capture &amp; confirmation, manual entry, basic dashboard, local storage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 invoice detection, tax-relief mapping, cloud sync, budgets &amp; alerts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 detection, conversational AI assistant, year-end tax pack export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 (future)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[TBD]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account linking (pending Malaysia Open Finance maturity), e-wallet/loyalty tracking, SME/e-Invois mode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15. Team &amp; Resourcing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Fill in founding team bios/roles. Partners will want to see coverage across: product, engineering (mobile + AI/backend), design, and someone with finance/tax domain knowledge (even as an advisor).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Founder(s) / Product: [Name, background]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Engineering (Mobile + Backend/AI): [Name or 'hiring']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/ UX: [Name or 'hiring']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Advisors (tax/finance domain, legal/PDPA): [Name(s) or 'seeking']</w:t>
      </w:r>
    </w:p>
    <w:p>
      <w:pPr>
        <w:pStyle w:val="Heading1"/>
        <w:spacing w:after="200" w:before="400"/>
      </w:pPr>
      <w:r>
        <w:t xml:space="preserve">16. Financial Projections &amp; Funding Ask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This section typically needs the most work — recommend building a simple model covering: user growth assumptions, free-to-paid conversion rate, CAC, monthly infra/AI cost per user (OCR + LLM calls are a real variable cost at scale), and runway. Happy to help build this as a companion spreadsheet.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Funding ask: [RM amount]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of funds: [e.g. engineering, AI/infra costs, marketing, legal/compliance]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milestones the funding will achieve: [e.g. MVP launch, X users, tax-season readiness]</w:t>
      </w:r>
    </w:p>
    <w:p>
      <w:pPr>
        <w:pStyle w:val="Heading1"/>
        <w:spacing w:after="200" w:before="400"/>
      </w:pPr>
      <w:r>
        <w:t xml:space="preserve">17. Risks &amp; Mitigations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700"/>
      </w:tblGrid>
      <w:tr>
        <w:trPr>
          <w:tblHeader/>
        </w:trPr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mature open banking in Malaysia limits automation vs overseas competitors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with AI-input (receipt/email) as the core value prop, not a workaround; revisit bank-linking once BNM's Open Finance framework matures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OCR/categorisation accuracy errors erode trust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Human-in-the-loop confirmation (Yes/No) on every AI-suggested entry; continuous model improvement from corrections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trust/adoption around scanning Gmail and storing financial data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Granular, transparent consent flows; local-first storage; clear PDPA-compliant privacy policy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retention (industry-wide budgeting app problem)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Minimise manual effort at every step; tie the app to a concrete annual payoff (tax season) to re-engage users beyond daily budgeting habits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 AI/infra cost per user at scale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 cost-per-scan; consider tiered free/premium limits on AI usage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18. Appendix</w:t>
      </w:r>
    </w:p>
    <w:p>
      <w:pPr>
        <w:pStyle w:val="Heading2"/>
        <w:spacing w:after="150" w:before="300"/>
      </w:pPr>
      <w:r>
        <w:t xml:space="preserve">18.1 Sources / Inspiration Apps Referenced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US: Copilot Money, Monarch Money, Rocket Money, YNAB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Japan: Zaim, Money Forward ME, Moneytree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Malaysia: Ryt Bank, Maybank MAE, Bank Rakyat TouchStyle, iMoney Budget Planner, CukaiMax, JomeInvoice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Official tax reference: LHDN (hasil.gov.my)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Open-source AI/OCR references: Tesseract, PaddleOCR, Qwen2.5-VL, dots.ocr</w:t>
      </w:r>
    </w:p>
    <w:p>
      <w:pPr>
        <w:pStyle w:val="Heading2"/>
        <w:spacing w:after="150" w:before="300"/>
      </w:pPr>
      <w:r>
        <w:t xml:space="preserve">18.2 Open Items Tracker</w:t>
      </w:r>
    </w:p>
    <w:p>
      <w:pPr>
        <w:spacing w:after="200"/>
      </w:pPr>
      <w:r>
        <w:rPr>
          <w:b/>
          <w:bCs/>
          <w:color w:val="B7791F"/>
        </w:rPr>
        <w:t xml:space="preserve">TO DISCUSS / TO FILL: </w:t>
      </w:r>
      <w:r>
        <w:rPr>
          <w:i/>
          <w:iCs/>
          <w:color w:val="666666"/>
        </w:rPr>
        <w:t xml:space="preserve">Use this as a running list of everything still marked TO DISCUSS / TO FILL throughout this document, so nothing gets missed before the partner meeting.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[App Name] — Business Proposal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6B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2026-07-09T07:11:56.285Z</dcterms:created>
  <dcterms:modified xsi:type="dcterms:W3CDTF">2026-07-09T07:11:56.302Z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