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7B7F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7E08F7E6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62FE53A7" w14:textId="77777777" w:rsidR="00000568" w:rsidRDefault="00000568" w:rsidP="00000568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1851EC41" w14:textId="6786E9A6" w:rsidR="00BA6B8B" w:rsidRDefault="00BA6B8B" w:rsidP="009B17DB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3DBE84E8" w14:textId="77777777" w:rsidR="009B17DB" w:rsidRDefault="009B17DB" w:rsidP="009B17DB">
      <w:pPr>
        <w:spacing w:line="360" w:lineRule="auto"/>
        <w:jc w:val="center"/>
        <w:rPr>
          <w:rFonts w:eastAsiaTheme="minorEastAsia"/>
          <w:b/>
          <w:bCs/>
          <w:sz w:val="32"/>
          <w:szCs w:val="32"/>
        </w:rPr>
      </w:pPr>
    </w:p>
    <w:p w14:paraId="21C0FA42" w14:textId="691D3D55" w:rsidR="00000568" w:rsidRPr="002618EF" w:rsidRDefault="009B17DB" w:rsidP="00000568">
      <w:pPr>
        <w:spacing w:line="360" w:lineRule="auto"/>
        <w:jc w:val="center"/>
        <w:rPr>
          <w:rFonts w:eastAsiaTheme="minorEastAsia"/>
          <w:b/>
          <w:bCs/>
          <w:sz w:val="52"/>
          <w:szCs w:val="52"/>
        </w:rPr>
      </w:pPr>
      <w:proofErr w:type="spellStart"/>
      <w:r>
        <w:rPr>
          <w:rFonts w:eastAsiaTheme="minorEastAsia"/>
          <w:b/>
          <w:bCs/>
          <w:sz w:val="52"/>
          <w:szCs w:val="52"/>
        </w:rPr>
        <w:t>Lab</w:t>
      </w:r>
      <w:proofErr w:type="spellEnd"/>
      <w:r>
        <w:rPr>
          <w:rFonts w:eastAsiaTheme="minorEastAsia"/>
          <w:b/>
          <w:bCs/>
          <w:sz w:val="52"/>
          <w:szCs w:val="52"/>
        </w:rPr>
        <w:t xml:space="preserve"> 0</w:t>
      </w:r>
      <w:r w:rsidR="00CF4CF3">
        <w:rPr>
          <w:rFonts w:eastAsiaTheme="minorEastAsia"/>
          <w:b/>
          <w:bCs/>
          <w:sz w:val="52"/>
          <w:szCs w:val="52"/>
        </w:rPr>
        <w:t>2</w:t>
      </w:r>
    </w:p>
    <w:p w14:paraId="65C6DAFD" w14:textId="6307F809" w:rsidR="00BA6B8B" w:rsidRPr="00BA6B8B" w:rsidRDefault="009B17DB" w:rsidP="00BA6B8B">
      <w:pPr>
        <w:spacing w:line="360" w:lineRule="auto"/>
        <w:jc w:val="center"/>
        <w:rPr>
          <w:rFonts w:eastAsiaTheme="minorEastAsia"/>
          <w:b/>
          <w:sz w:val="48"/>
          <w:szCs w:val="72"/>
        </w:rPr>
      </w:pPr>
      <w:r>
        <w:rPr>
          <w:rFonts w:eastAsiaTheme="minorEastAsia"/>
          <w:b/>
          <w:sz w:val="48"/>
          <w:szCs w:val="72"/>
        </w:rPr>
        <w:t>Análise de Sistemas</w:t>
      </w:r>
    </w:p>
    <w:p w14:paraId="211FEA47" w14:textId="77777777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1534D0BC" w14:textId="77777777" w:rsidR="00000568" w:rsidRDefault="00000568" w:rsidP="009B17DB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26388701" w14:textId="23392E84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Universidade de Aveiro</w:t>
      </w:r>
    </w:p>
    <w:p w14:paraId="24E69AE2" w14:textId="6D9E001E" w:rsidR="00BA6B8B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Licenciatura em Engenharia de Computadores e Informática</w:t>
      </w:r>
    </w:p>
    <w:p w14:paraId="13353954" w14:textId="6BEA2665" w:rsidR="00000568" w:rsidRDefault="002618EF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 xml:space="preserve">Regente: </w:t>
      </w:r>
      <w:r w:rsidR="00000568">
        <w:rPr>
          <w:rFonts w:eastAsiaTheme="minorEastAsia"/>
          <w:bCs/>
          <w:szCs w:val="32"/>
        </w:rPr>
        <w:t xml:space="preserve">Prof. </w:t>
      </w:r>
      <w:r w:rsidR="009B17DB" w:rsidRPr="009B17DB">
        <w:rPr>
          <w:rFonts w:eastAsiaTheme="minorEastAsia"/>
          <w:bCs/>
          <w:szCs w:val="32"/>
        </w:rPr>
        <w:t>Ilídio Oliveira</w:t>
      </w:r>
    </w:p>
    <w:p w14:paraId="1C19DC4F" w14:textId="11F8B3A1" w:rsidR="00000568" w:rsidRDefault="00000568" w:rsidP="00000568">
      <w:pPr>
        <w:spacing w:line="360" w:lineRule="auto"/>
        <w:jc w:val="center"/>
        <w:rPr>
          <w:rFonts w:eastAsiaTheme="minorEastAsia"/>
          <w:bCs/>
          <w:szCs w:val="32"/>
        </w:rPr>
      </w:pPr>
    </w:p>
    <w:p w14:paraId="0D0FE588" w14:textId="10CFE91B" w:rsidR="00000568" w:rsidRDefault="00BA6B8B" w:rsidP="00000568">
      <w:pPr>
        <w:spacing w:line="360" w:lineRule="auto"/>
        <w:jc w:val="center"/>
        <w:rPr>
          <w:rFonts w:eastAsiaTheme="minorEastAsia"/>
          <w:bCs/>
          <w:szCs w:val="32"/>
        </w:rPr>
      </w:pPr>
      <w:r>
        <w:rPr>
          <w:rFonts w:eastAsiaTheme="minorEastAsia"/>
          <w:bCs/>
          <w:szCs w:val="32"/>
        </w:rPr>
        <w:t>André Clérigo, 98485</w:t>
      </w:r>
    </w:p>
    <w:p w14:paraId="32EC83D5" w14:textId="07939345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Cláudio Asensio</w:t>
      </w:r>
      <w:r>
        <w:rPr>
          <w:bCs/>
          <w:szCs w:val="18"/>
        </w:rPr>
        <w:t>,</w:t>
      </w:r>
      <w:r w:rsidR="00366095">
        <w:rPr>
          <w:bCs/>
          <w:szCs w:val="18"/>
        </w:rPr>
        <w:t xml:space="preserve"> 98433</w:t>
      </w:r>
    </w:p>
    <w:p w14:paraId="368A4BF6" w14:textId="28A0F490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Edgar Sousa</w:t>
      </w:r>
      <w:r w:rsidR="00366095">
        <w:rPr>
          <w:bCs/>
          <w:szCs w:val="18"/>
        </w:rPr>
        <w:t>,</w:t>
      </w:r>
      <w:r w:rsidR="00366095" w:rsidRPr="00366095">
        <w:t xml:space="preserve"> </w:t>
      </w:r>
      <w:r w:rsidR="00366095" w:rsidRPr="00366095">
        <w:rPr>
          <w:bCs/>
          <w:szCs w:val="18"/>
        </w:rPr>
        <w:t>98757</w:t>
      </w:r>
    </w:p>
    <w:p w14:paraId="7290DE14" w14:textId="426FF7ED" w:rsidR="009B17DB" w:rsidRPr="009B17DB" w:rsidRDefault="009B17DB" w:rsidP="009B17DB">
      <w:pPr>
        <w:spacing w:after="303"/>
        <w:ind w:left="1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Hugo Domingos</w:t>
      </w:r>
      <w:r w:rsidR="00366095">
        <w:rPr>
          <w:bCs/>
          <w:szCs w:val="18"/>
        </w:rPr>
        <w:t xml:space="preserve">, </w:t>
      </w:r>
      <w:r w:rsidR="00E3681D">
        <w:rPr>
          <w:bCs/>
          <w:szCs w:val="18"/>
        </w:rPr>
        <w:t>98502</w:t>
      </w:r>
    </w:p>
    <w:p w14:paraId="3AA48A92" w14:textId="7478A91E" w:rsidR="009B17DB" w:rsidRPr="009B17DB" w:rsidRDefault="009B17DB" w:rsidP="009B17DB">
      <w:pPr>
        <w:spacing w:after="244"/>
        <w:ind w:left="14" w:right="4"/>
        <w:jc w:val="center"/>
        <w:rPr>
          <w:bCs/>
          <w:sz w:val="18"/>
          <w:szCs w:val="18"/>
        </w:rPr>
      </w:pPr>
      <w:r w:rsidRPr="009B17DB">
        <w:rPr>
          <w:bCs/>
          <w:szCs w:val="18"/>
        </w:rPr>
        <w:t>Tiago Marques</w:t>
      </w:r>
      <w:r w:rsidR="00366095">
        <w:rPr>
          <w:bCs/>
          <w:szCs w:val="18"/>
        </w:rPr>
        <w:t xml:space="preserve">, </w:t>
      </w:r>
      <w:r w:rsidR="00D52045" w:rsidRPr="00D52045">
        <w:rPr>
          <w:bCs/>
          <w:szCs w:val="18"/>
        </w:rPr>
        <w:t>98459</w:t>
      </w:r>
    </w:p>
    <w:p w14:paraId="7E3613BB" w14:textId="1482FAC5" w:rsidR="00000568" w:rsidRDefault="00000568" w:rsidP="009B17DB">
      <w:pPr>
        <w:spacing w:line="360" w:lineRule="auto"/>
        <w:rPr>
          <w:rFonts w:eastAsiaTheme="minorEastAsia" w:cstheme="minorEastAsia"/>
        </w:rPr>
      </w:pPr>
    </w:p>
    <w:p w14:paraId="029F12CC" w14:textId="77777777" w:rsidR="002618EF" w:rsidRDefault="002618EF" w:rsidP="002618EF">
      <w:pPr>
        <w:spacing w:line="360" w:lineRule="auto"/>
        <w:jc w:val="center"/>
        <w:rPr>
          <w:rFonts w:eastAsiaTheme="minorEastAsia" w:cstheme="minorEastAsia"/>
        </w:rPr>
      </w:pPr>
    </w:p>
    <w:p w14:paraId="407D37C0" w14:textId="6F61C2BE" w:rsidR="00000568" w:rsidRPr="00000568" w:rsidRDefault="00CF4CF3" w:rsidP="002618EF">
      <w:pPr>
        <w:spacing w:line="360" w:lineRule="auto"/>
        <w:jc w:val="center"/>
        <w:rPr>
          <w:rFonts w:eastAsiaTheme="minorEastAsia"/>
          <w:bCs/>
          <w:sz w:val="16"/>
          <w:szCs w:val="32"/>
        </w:rPr>
      </w:pPr>
      <w:r>
        <w:rPr>
          <w:rFonts w:eastAsiaTheme="minorEastAsia" w:cstheme="minorEastAsia"/>
        </w:rPr>
        <w:t>1</w:t>
      </w:r>
      <w:r w:rsidR="009778A3">
        <w:rPr>
          <w:rFonts w:eastAsiaTheme="minorEastAsia" w:cstheme="minorEastAsia"/>
        </w:rPr>
        <w:t>5</w:t>
      </w:r>
      <w:r w:rsidR="002618EF">
        <w:rPr>
          <w:rFonts w:eastAsiaTheme="minorEastAsia" w:cstheme="minorEastAsia"/>
        </w:rPr>
        <w:t xml:space="preserve"> de </w:t>
      </w:r>
      <w:r w:rsidR="009B17DB">
        <w:rPr>
          <w:rFonts w:eastAsiaTheme="minorEastAsia" w:cstheme="minorEastAsia"/>
        </w:rPr>
        <w:t>março</w:t>
      </w:r>
      <w:r w:rsidR="002618EF">
        <w:rPr>
          <w:rFonts w:eastAsiaTheme="minorEastAsia" w:cstheme="minorEastAsia"/>
        </w:rPr>
        <w:t xml:space="preserve"> 202</w:t>
      </w:r>
      <w:r w:rsidR="009B17DB">
        <w:rPr>
          <w:rFonts w:eastAsiaTheme="minorEastAsia" w:cstheme="minorEastAsia"/>
        </w:rPr>
        <w:t>2</w:t>
      </w:r>
    </w:p>
    <w:p w14:paraId="60A593BA" w14:textId="638FC5B3" w:rsidR="00000568" w:rsidRDefault="00000568" w:rsidP="007C5958">
      <w:pPr>
        <w:pStyle w:val="Heading1"/>
      </w:pPr>
      <w:bookmarkStart w:id="0" w:name="_Toc98195060"/>
      <w:r w:rsidRPr="00000568">
        <w:lastRenderedPageBreak/>
        <w:t>Índice</w:t>
      </w:r>
      <w:bookmarkEnd w:id="0"/>
    </w:p>
    <w:p w14:paraId="1DA0467C" w14:textId="77777777" w:rsidR="00000568" w:rsidRPr="00000568" w:rsidRDefault="00000568" w:rsidP="00000568"/>
    <w:sdt>
      <w:sdtPr>
        <w:rPr>
          <w:rFonts w:eastAsiaTheme="minorHAnsi" w:cstheme="minorBidi"/>
          <w:b/>
          <w:lang w:eastAsia="en-US"/>
        </w:rPr>
        <w:id w:val="38584302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CCE38DF" w14:textId="5E4C9D8D" w:rsidR="000C01EE" w:rsidRDefault="00000568">
          <w:pPr>
            <w:pStyle w:val="TOC1"/>
            <w:rPr>
              <w:rFonts w:cstheme="minorBidi"/>
              <w:noProof/>
              <w:lang w:val="en-US" w:eastAsia="en-US"/>
            </w:rPr>
          </w:pPr>
          <w:r w:rsidRPr="00081BBA">
            <w:fldChar w:fldCharType="begin"/>
          </w:r>
          <w:r w:rsidRPr="00081BBA">
            <w:instrText xml:space="preserve"> TOC \o "1-3" \h \z \u </w:instrText>
          </w:r>
          <w:r w:rsidRPr="00081BBA">
            <w:fldChar w:fldCharType="separate"/>
          </w:r>
          <w:hyperlink w:anchor="_Toc98195060" w:history="1">
            <w:r w:rsidR="000C01EE" w:rsidRPr="00756458">
              <w:rPr>
                <w:rStyle w:val="Hyperlink"/>
                <w:noProof/>
              </w:rPr>
              <w:t>Índice</w:t>
            </w:r>
            <w:r w:rsidR="000C01EE">
              <w:rPr>
                <w:noProof/>
                <w:webHidden/>
              </w:rPr>
              <w:tab/>
            </w:r>
            <w:r w:rsidR="000C01EE">
              <w:rPr>
                <w:noProof/>
                <w:webHidden/>
              </w:rPr>
              <w:fldChar w:fldCharType="begin"/>
            </w:r>
            <w:r w:rsidR="000C01EE">
              <w:rPr>
                <w:noProof/>
                <w:webHidden/>
              </w:rPr>
              <w:instrText xml:space="preserve"> PAGEREF _Toc98195060 \h </w:instrText>
            </w:r>
            <w:r w:rsidR="000C01EE">
              <w:rPr>
                <w:noProof/>
                <w:webHidden/>
              </w:rPr>
            </w:r>
            <w:r w:rsidR="000C01EE">
              <w:rPr>
                <w:noProof/>
                <w:webHidden/>
              </w:rPr>
              <w:fldChar w:fldCharType="separate"/>
            </w:r>
            <w:r w:rsidR="000C01EE">
              <w:rPr>
                <w:noProof/>
                <w:webHidden/>
              </w:rPr>
              <w:t>2</w:t>
            </w:r>
            <w:r w:rsidR="000C01EE">
              <w:rPr>
                <w:noProof/>
                <w:webHidden/>
              </w:rPr>
              <w:fldChar w:fldCharType="end"/>
            </w:r>
          </w:hyperlink>
        </w:p>
        <w:p w14:paraId="1E689B94" w14:textId="6BEB7A6F" w:rsidR="000C01EE" w:rsidRDefault="000C01EE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8195061" w:history="1">
            <w:r w:rsidRPr="00756458">
              <w:rPr>
                <w:rStyle w:val="Hyperlink"/>
                <w:noProof/>
              </w:rPr>
              <w:t>Ex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4B11" w14:textId="11E3D4CB" w:rsidR="000C01EE" w:rsidRDefault="000C01EE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8195062" w:history="1">
            <w:r w:rsidRPr="00756458">
              <w:rPr>
                <w:rStyle w:val="Hyperlink"/>
                <w:noProof/>
              </w:rPr>
              <w:t>Ex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D9DE5" w14:textId="7DEDBAA1" w:rsidR="000C01EE" w:rsidRDefault="000C01EE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8195063" w:history="1">
            <w:r w:rsidRPr="00756458">
              <w:rPr>
                <w:rStyle w:val="Hyperlink"/>
                <w:noProof/>
              </w:rPr>
              <w:t>Ex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4869" w14:textId="4F06C581" w:rsidR="000C01EE" w:rsidRDefault="000C01EE">
          <w:pPr>
            <w:pStyle w:val="TOC1"/>
            <w:rPr>
              <w:rFonts w:cstheme="minorBidi"/>
              <w:noProof/>
              <w:lang w:val="en-US" w:eastAsia="en-US"/>
            </w:rPr>
          </w:pPr>
          <w:hyperlink w:anchor="_Toc98195064" w:history="1">
            <w:r w:rsidRPr="00756458">
              <w:rPr>
                <w:rStyle w:val="Hyperlink"/>
                <w:noProof/>
              </w:rPr>
              <w:t>Ex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C568" w14:textId="12D0CFF6" w:rsidR="000C01EE" w:rsidRDefault="000C01E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8195065" w:history="1">
            <w:r w:rsidRPr="00756458">
              <w:rPr>
                <w:rStyle w:val="Hyperlink"/>
                <w:noProof/>
              </w:rPr>
              <w:t>Alínea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6D190" w14:textId="5FB61B6E" w:rsidR="000C01EE" w:rsidRDefault="000C01E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8195066" w:history="1">
            <w:r w:rsidRPr="00756458">
              <w:rPr>
                <w:rStyle w:val="Hyperlink"/>
                <w:noProof/>
              </w:rPr>
              <w:t>Alínea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76A7" w14:textId="400CDD5C" w:rsidR="000C01EE" w:rsidRDefault="000C01EE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98195067" w:history="1">
            <w:r w:rsidRPr="00756458">
              <w:rPr>
                <w:rStyle w:val="Hyperlink"/>
                <w:noProof/>
              </w:rPr>
              <w:t>Alínea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4ADB6" w14:textId="586EA987" w:rsidR="00000568" w:rsidRDefault="00000568" w:rsidP="00000568">
          <w:pPr>
            <w:rPr>
              <w:bCs/>
            </w:rPr>
          </w:pPr>
          <w:r w:rsidRPr="00081BBA">
            <w:fldChar w:fldCharType="end"/>
          </w:r>
        </w:p>
      </w:sdtContent>
    </w:sdt>
    <w:p w14:paraId="0A46FCE8" w14:textId="7157CA6A" w:rsidR="00366095" w:rsidRPr="00CF4CF3" w:rsidRDefault="00000568" w:rsidP="00366095">
      <w:pPr>
        <w:rPr>
          <w:bCs/>
        </w:rPr>
      </w:pPr>
      <w:r>
        <w:rPr>
          <w:bCs/>
        </w:rPr>
        <w:br w:type="page"/>
      </w:r>
    </w:p>
    <w:p w14:paraId="5FA52C06" w14:textId="3E2B7AF0" w:rsidR="00000568" w:rsidRDefault="009B17DB" w:rsidP="007C5958">
      <w:pPr>
        <w:pStyle w:val="Heading1"/>
      </w:pPr>
      <w:bookmarkStart w:id="1" w:name="_Toc98195061"/>
      <w:r>
        <w:lastRenderedPageBreak/>
        <w:t xml:space="preserve">Ex </w:t>
      </w:r>
      <w:r w:rsidR="00CF4CF3">
        <w:t>2</w:t>
      </w:r>
      <w:r>
        <w:t>.1</w:t>
      </w:r>
      <w:bookmarkEnd w:id="1"/>
    </w:p>
    <w:p w14:paraId="53B61BC8" w14:textId="77777777" w:rsidR="00CF4CF3" w:rsidRDefault="00CF4CF3" w:rsidP="00CF4CF3">
      <w:pPr>
        <w:spacing w:line="360" w:lineRule="auto"/>
        <w:jc w:val="both"/>
      </w:pPr>
      <w:r>
        <w:t>Num sistema de online shopping existem 5 atores:</w:t>
      </w:r>
    </w:p>
    <w:p w14:paraId="0C54A758" w14:textId="77777777" w:rsidR="00CF4CF3" w:rsidRDefault="00CF4CF3" w:rsidP="00CF4CF3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Cliente (Web </w:t>
      </w:r>
      <w:proofErr w:type="spellStart"/>
      <w:r>
        <w:t>Costumer</w:t>
      </w:r>
      <w:proofErr w:type="spellEnd"/>
      <w:r>
        <w:t>) que pode ser um cliente registado (</w:t>
      </w:r>
      <w:proofErr w:type="spellStart"/>
      <w:r>
        <w:t>Regsitered</w:t>
      </w:r>
      <w:proofErr w:type="spellEnd"/>
      <w:r>
        <w:t xml:space="preserve"> </w:t>
      </w:r>
      <w:proofErr w:type="spellStart"/>
      <w:r>
        <w:t>Costumer</w:t>
      </w:r>
      <w:proofErr w:type="spellEnd"/>
      <w:r>
        <w:t xml:space="preserve">) ou um cliente novo (New </w:t>
      </w:r>
      <w:proofErr w:type="spellStart"/>
      <w:r>
        <w:t>Costumer</w:t>
      </w:r>
      <w:proofErr w:type="spellEnd"/>
      <w:r>
        <w:t>)</w:t>
      </w:r>
    </w:p>
    <w:p w14:paraId="26A48CB9" w14:textId="77777777" w:rsidR="00CF4CF3" w:rsidRDefault="00CF4CF3" w:rsidP="00CF4CF3">
      <w:pPr>
        <w:pStyle w:val="ListParagraph"/>
        <w:numPr>
          <w:ilvl w:val="0"/>
          <w:numId w:val="6"/>
        </w:numPr>
        <w:spacing w:line="360" w:lineRule="auto"/>
        <w:jc w:val="both"/>
      </w:pPr>
      <w:r>
        <w:t>Um serviço de autenticação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14:paraId="11B76010" w14:textId="77777777" w:rsidR="00CF4CF3" w:rsidRDefault="00CF4CF3" w:rsidP="00CF4CF3">
      <w:pPr>
        <w:pStyle w:val="ListParagraph"/>
        <w:numPr>
          <w:ilvl w:val="0"/>
          <w:numId w:val="6"/>
        </w:numPr>
        <w:spacing w:line="360" w:lineRule="auto"/>
        <w:jc w:val="both"/>
      </w:pPr>
      <w:r>
        <w:t>Um fornecedor de identidade (</w:t>
      </w:r>
      <w:proofErr w:type="spellStart"/>
      <w:r>
        <w:t>Identity</w:t>
      </w:r>
      <w:proofErr w:type="spellEnd"/>
      <w:r>
        <w:t xml:space="preserve"> Provider)</w:t>
      </w:r>
    </w:p>
    <w:p w14:paraId="42ED0AE6" w14:textId="77777777" w:rsidR="00CF4CF3" w:rsidRDefault="00CF4CF3" w:rsidP="00CF4CF3">
      <w:pPr>
        <w:pStyle w:val="ListParagraph"/>
        <w:numPr>
          <w:ilvl w:val="0"/>
          <w:numId w:val="6"/>
        </w:numPr>
        <w:spacing w:line="360" w:lineRule="auto"/>
        <w:jc w:val="both"/>
      </w:pPr>
      <w:r>
        <w:t>O serviço de pagamento a crédito (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</w:t>
      </w:r>
    </w:p>
    <w:p w14:paraId="1AC7DF2A" w14:textId="77777777" w:rsidR="00CF4CF3" w:rsidRDefault="00CF4CF3" w:rsidP="00CF4CF3">
      <w:pPr>
        <w:pStyle w:val="ListParagraph"/>
        <w:numPr>
          <w:ilvl w:val="0"/>
          <w:numId w:val="6"/>
        </w:numPr>
        <w:spacing w:line="360" w:lineRule="auto"/>
        <w:jc w:val="both"/>
      </w:pPr>
      <w:r>
        <w:t>E a entidade Paypal</w:t>
      </w:r>
    </w:p>
    <w:p w14:paraId="00C91E49" w14:textId="77777777" w:rsidR="00CF4CF3" w:rsidRDefault="00CF4CF3" w:rsidP="00CF4CF3">
      <w:pPr>
        <w:spacing w:line="360" w:lineRule="auto"/>
        <w:jc w:val="both"/>
      </w:pPr>
    </w:p>
    <w:p w14:paraId="6FFE4DD3" w14:textId="27687909" w:rsidR="00CF4CF3" w:rsidRDefault="00CF4CF3" w:rsidP="00CF4CF3">
      <w:pPr>
        <w:spacing w:line="360" w:lineRule="auto"/>
        <w:jc w:val="both"/>
      </w:pPr>
      <w:r>
        <w:t xml:space="preserve">Um cliente registado pode ver os itens na loja e fazer uma compra. Por outro lado, um cliente que não é conhecida a sua identidade apenas pode ver os itens da loja e registar-se. </w:t>
      </w:r>
    </w:p>
    <w:p w14:paraId="38B9B122" w14:textId="6DF81287" w:rsidR="00CF4CF3" w:rsidRDefault="00CF4CF3" w:rsidP="00CF4CF3">
      <w:pPr>
        <w:spacing w:line="360" w:lineRule="auto"/>
        <w:jc w:val="both"/>
      </w:pPr>
      <w:r>
        <w:t xml:space="preserve">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Identity</w:t>
      </w:r>
      <w:proofErr w:type="spellEnd"/>
      <w:r>
        <w:t xml:space="preserve"> Provider,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 </w:t>
      </w:r>
      <w:proofErr w:type="spellStart"/>
      <w:r>
        <w:t>PayPal</w:t>
      </w:r>
      <w:proofErr w:type="spellEnd"/>
      <w:r>
        <w:t xml:space="preserve"> têm acesso à funcionalidade de Checkout.</w:t>
      </w:r>
    </w:p>
    <w:p w14:paraId="4A93B142" w14:textId="60EBB117" w:rsidR="00CF4CF3" w:rsidRDefault="00CF4CF3" w:rsidP="00CF4CF3">
      <w:pPr>
        <w:spacing w:line="360" w:lineRule="auto"/>
        <w:jc w:val="both"/>
      </w:pPr>
      <w:r>
        <w:t xml:space="preserve">O </w:t>
      </w:r>
      <w:proofErr w:type="spellStart"/>
      <w:r>
        <w:t>Identity</w:t>
      </w:r>
      <w:proofErr w:type="spellEnd"/>
      <w:r>
        <w:t xml:space="preserve"> Provider tem acesso à funcionalidade de ver os itens da loja e 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tem acesso à funcionalidade de registar um novo cliente.</w:t>
      </w:r>
    </w:p>
    <w:p w14:paraId="50059A85" w14:textId="049B697F" w:rsidR="00366095" w:rsidRDefault="00CF4CF3" w:rsidP="00CF4CF3">
      <w:pPr>
        <w:spacing w:line="360" w:lineRule="auto"/>
        <w:jc w:val="both"/>
      </w:pPr>
      <w:r>
        <w:t>A funcionalidade de fazer uma compra implica a visualização dos itens e do checkout.</w:t>
      </w:r>
    </w:p>
    <w:p w14:paraId="408A9EA2" w14:textId="7813C9E5" w:rsidR="00CF4CF3" w:rsidRPr="00366095" w:rsidRDefault="00765DC5" w:rsidP="00765DC5">
      <w:r>
        <w:br w:type="page"/>
      </w:r>
    </w:p>
    <w:p w14:paraId="08B890A7" w14:textId="123F2DA6" w:rsidR="00925D2D" w:rsidRDefault="009B17DB" w:rsidP="00925D2D">
      <w:pPr>
        <w:pStyle w:val="Heading1"/>
      </w:pPr>
      <w:bookmarkStart w:id="2" w:name="_Toc98195062"/>
      <w:r>
        <w:lastRenderedPageBreak/>
        <w:t xml:space="preserve">Ex </w:t>
      </w:r>
      <w:r w:rsidR="00CF4CF3">
        <w:t>2</w:t>
      </w:r>
      <w:r>
        <w:t>.2</w:t>
      </w:r>
      <w:bookmarkEnd w:id="2"/>
    </w:p>
    <w:p w14:paraId="1CC6F6BD" w14:textId="18D8B01D" w:rsidR="009778A3" w:rsidRPr="009778A3" w:rsidRDefault="009778A3" w:rsidP="009778A3">
      <w:r>
        <w:rPr>
          <w:noProof/>
        </w:rPr>
        <w:drawing>
          <wp:inline distT="0" distB="0" distL="0" distR="0" wp14:anchorId="4BE909AF" wp14:editId="75807C69">
            <wp:extent cx="5731510" cy="29610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FC91" w14:textId="77777777" w:rsidR="009778A3" w:rsidRDefault="009778A3" w:rsidP="00925D2D"/>
    <w:p w14:paraId="6A491F9F" w14:textId="5D31AE92" w:rsidR="00925D2D" w:rsidRDefault="00925D2D" w:rsidP="00925D2D">
      <w:r>
        <w:t>Os Atores são:</w:t>
      </w:r>
    </w:p>
    <w:p w14:paraId="124EF52D" w14:textId="0D16E43A" w:rsidR="00925D2D" w:rsidRDefault="00925D2D" w:rsidP="00925D2D">
      <w:r w:rsidRPr="00925D2D">
        <w:rPr>
          <w:b/>
          <w:bCs/>
        </w:rPr>
        <w:t>Aluno</w:t>
      </w:r>
      <w:r>
        <w:t>: Pode aceder às páginas da UC às quais está inscrito submete trabalhos, realiza exercícios, interage com as componentes de gestão chats, eventos calendário</w:t>
      </w:r>
    </w:p>
    <w:p w14:paraId="7A206DBA" w14:textId="132C792F" w:rsidR="00925D2D" w:rsidRDefault="00925D2D" w:rsidP="00925D2D">
      <w:r w:rsidRPr="00925D2D">
        <w:rPr>
          <w:b/>
          <w:bCs/>
        </w:rPr>
        <w:t>STIC</w:t>
      </w:r>
      <w:r>
        <w:t>: Age como o ator de maior nível (administrador) gerindo alunos professores e cadeiras</w:t>
      </w:r>
    </w:p>
    <w:p w14:paraId="5666B235" w14:textId="372B4CC2" w:rsidR="00925D2D" w:rsidRPr="00925D2D" w:rsidRDefault="00925D2D" w:rsidP="00925D2D">
      <w:r w:rsidRPr="00925D2D">
        <w:rPr>
          <w:b/>
          <w:bCs/>
        </w:rPr>
        <w:t>Professor</w:t>
      </w:r>
      <w:r>
        <w:t>: acede à página da UC adicionando conteúdo a esta como exercícios e eventos.</w:t>
      </w:r>
    </w:p>
    <w:p w14:paraId="7EBFBED3" w14:textId="77777777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:rsidRPr="0032533D" w14:paraId="1A46556E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AD2D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4906" w14:textId="77777777" w:rsidR="00925D2D" w:rsidRPr="0032533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32533D">
              <w:rPr>
                <w:rFonts w:ascii="Open Sans" w:eastAsia="Open Sans" w:hAnsi="Open Sans" w:cs="Open Sans"/>
                <w:b/>
                <w:sz w:val="20"/>
                <w:szCs w:val="20"/>
              </w:rPr>
              <w:t>#1: Aluno acede ao conteúdo da UC</w:t>
            </w:r>
          </w:p>
        </w:tc>
      </w:tr>
      <w:tr w:rsidR="00925D2D" w:rsidRPr="0032533D" w14:paraId="0D6CECE3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2652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C499" w14:textId="18997061" w:rsidR="00925D2D" w:rsidRPr="0032533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32533D">
              <w:rPr>
                <w:rFonts w:ascii="Open Sans" w:eastAsia="Open Sans" w:hAnsi="Open Sans" w:cs="Open Sans"/>
                <w:sz w:val="20"/>
                <w:szCs w:val="20"/>
              </w:rPr>
              <w:t>O aluno acede ao conteúdo da UC adicionado pelo docente e que reside na página da UC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</w:tc>
      </w:tr>
    </w:tbl>
    <w:p w14:paraId="26C888FF" w14:textId="77777777" w:rsidR="00925D2D" w:rsidRPr="0032533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2D12D070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71E1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D60" w14:textId="690ED8E4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#2: Realizar Exercícios</w:t>
            </w:r>
          </w:p>
        </w:tc>
      </w:tr>
      <w:tr w:rsidR="00925D2D" w14:paraId="3C2EB697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13E1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B9C" w14:textId="77777777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 aluno realiza os exercícios presentes na página da UC que são criados pelo docente.</w:t>
            </w:r>
          </w:p>
        </w:tc>
      </w:tr>
    </w:tbl>
    <w:p w14:paraId="407CC9FE" w14:textId="4BA0253C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  <w:bookmarkStart w:id="3" w:name="_y7p7y2os4scd" w:colFirst="0" w:colLast="0"/>
      <w:bookmarkEnd w:id="3"/>
    </w:p>
    <w:p w14:paraId="59C1517A" w14:textId="685F97A0" w:rsidR="009778A3" w:rsidRDefault="009778A3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p w14:paraId="3648BAF4" w14:textId="1F38F6B6" w:rsidR="009778A3" w:rsidRDefault="009778A3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p w14:paraId="675D7650" w14:textId="0790BEDF" w:rsidR="009778A3" w:rsidRDefault="009778A3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p w14:paraId="56F72263" w14:textId="77777777" w:rsidR="009778A3" w:rsidRDefault="009778A3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374FB5EF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FB41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A842" w14:textId="09EC845C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#3: Aluno Submete trabalho </w:t>
            </w:r>
          </w:p>
        </w:tc>
      </w:tr>
      <w:tr w:rsidR="00925D2D" w14:paraId="5957F5B2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5005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7A28" w14:textId="7E5E2845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 Aluno acede a uma atividade, que reside na página da UC, criada pelo regente da mesma. O aluno depois recorre ao sistema de submissão de ficheiros para submeter ficheiros que cumpram com o requisito da atividade criada.</w:t>
            </w:r>
          </w:p>
        </w:tc>
      </w:tr>
    </w:tbl>
    <w:p w14:paraId="1E798B1B" w14:textId="77777777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787CAF48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4255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8135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#4: Enviar Mensagens</w:t>
            </w:r>
          </w:p>
        </w:tc>
      </w:tr>
      <w:tr w:rsidR="00925D2D" w14:paraId="7C5B1746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65F9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F55F" w14:textId="77777777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 aluno acede ao chat e escreve uma mensagem que pode ser enviada a outros alunos ou docentes</w:t>
            </w:r>
          </w:p>
        </w:tc>
      </w:tr>
    </w:tbl>
    <w:p w14:paraId="4D98C97F" w14:textId="77777777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3CFD27B2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EAB8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9006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#5: Ver mensagens</w:t>
            </w:r>
          </w:p>
        </w:tc>
      </w:tr>
      <w:tr w:rsidR="00925D2D" w14:paraId="3DF473C6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B89F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8740" w14:textId="77777777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 aluno acede ao chat e consulta as mensagens recebidas e enviadas.</w:t>
            </w:r>
          </w:p>
        </w:tc>
      </w:tr>
    </w:tbl>
    <w:p w14:paraId="20EA281D" w14:textId="77777777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697D7C84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0C12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D98A" w14:textId="7D3BD91F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#6: Visualização de notificações</w:t>
            </w:r>
          </w:p>
        </w:tc>
      </w:tr>
      <w:tr w:rsidR="00925D2D" w14:paraId="0FFD79D5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B7B0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8559" w14:textId="77777777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O aluno consulta as notificações presentes no seu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dashboard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>. Notificações estas criadas pelo docente.</w:t>
            </w:r>
          </w:p>
        </w:tc>
      </w:tr>
    </w:tbl>
    <w:p w14:paraId="0A379355" w14:textId="77777777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7F310574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EB24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6D96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#7: Aceder aos Eventos</w:t>
            </w:r>
          </w:p>
        </w:tc>
      </w:tr>
      <w:tr w:rsidR="00925D2D" w14:paraId="38E17150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FC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B65A" w14:textId="77777777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O aluno consulta os eventos criados pelos docentes que residem na sua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dashboard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</w:tc>
      </w:tr>
    </w:tbl>
    <w:p w14:paraId="3BC4E301" w14:textId="77777777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56E364AD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6825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1190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#8: Adicionar Conteúdo</w:t>
            </w:r>
          </w:p>
        </w:tc>
      </w:tr>
      <w:tr w:rsidR="00925D2D" w14:paraId="32FAC43D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36DC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7E72" w14:textId="789CBFF5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 Docente adiciona ficheiros e atividades à respetiva página da UC para acesso dos alunos.</w:t>
            </w:r>
          </w:p>
        </w:tc>
      </w:tr>
    </w:tbl>
    <w:p w14:paraId="5947367E" w14:textId="77777777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2F8401C4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73EA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A051" w14:textId="4A3AF6D0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#9: Criar área de submissão de ficheiros</w:t>
            </w:r>
          </w:p>
        </w:tc>
      </w:tr>
      <w:tr w:rsidR="00925D2D" w14:paraId="0F43F3AB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9AD6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ED64" w14:textId="77777777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 Docente cria uma atividade na página da UC que corresponde a um evento com a capacidade de serem submetidos ficheiros por parte do aluno.</w:t>
            </w:r>
          </w:p>
        </w:tc>
      </w:tr>
    </w:tbl>
    <w:tbl>
      <w:tblPr>
        <w:tblpPr w:leftFromText="180" w:rightFromText="180" w:vertAnchor="text" w:tblpY="-13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778A3" w14:paraId="5D6C8D66" w14:textId="77777777" w:rsidTr="009778A3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82E8" w14:textId="77777777" w:rsidR="009778A3" w:rsidRDefault="009778A3" w:rsidP="009778A3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bookmarkStart w:id="4" w:name="_ojdy353gaccd" w:colFirst="0" w:colLast="0"/>
            <w:bookmarkEnd w:id="4"/>
            <w:r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B3EE" w14:textId="77777777" w:rsidR="009778A3" w:rsidRDefault="009778A3" w:rsidP="009778A3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#10: Adicionar Exercícios</w:t>
            </w:r>
          </w:p>
        </w:tc>
      </w:tr>
      <w:tr w:rsidR="009778A3" w14:paraId="7D60DE36" w14:textId="77777777" w:rsidTr="009778A3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6E07" w14:textId="77777777" w:rsidR="009778A3" w:rsidRDefault="009778A3" w:rsidP="009778A3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D291" w14:textId="77777777" w:rsidR="009778A3" w:rsidRDefault="009778A3" w:rsidP="009778A3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 Docente adiciona exercícios à página da UC exercícios estes que correspondem a atividades.</w:t>
            </w:r>
          </w:p>
        </w:tc>
      </w:tr>
    </w:tbl>
    <w:p w14:paraId="2081319B" w14:textId="77777777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06F712B2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BF95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7A6A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#11: Atribuir Alunos</w:t>
            </w:r>
          </w:p>
        </w:tc>
      </w:tr>
      <w:tr w:rsidR="00925D2D" w14:paraId="3ADB3719" w14:textId="77777777" w:rsidTr="00925D2D">
        <w:trPr>
          <w:trHeight w:val="528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F681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836A" w14:textId="5F9EB201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Os STIC irão atribuir alunos às respetivas páginas de UC que eles criaram previamente.</w:t>
            </w:r>
          </w:p>
        </w:tc>
      </w:tr>
    </w:tbl>
    <w:p w14:paraId="06DD9FC3" w14:textId="77777777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18AEFF53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C1F8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47E5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#12: Atribuir Docentes</w:t>
            </w:r>
          </w:p>
        </w:tc>
      </w:tr>
      <w:tr w:rsidR="00925D2D" w14:paraId="435D22E6" w14:textId="77777777" w:rsidTr="00925D2D">
        <w:trPr>
          <w:trHeight w:val="582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D28C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EB9A" w14:textId="661FB284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Os STIC irão atribuir Docentes às respetivas páginas de UC que eles criaram previamente.</w:t>
            </w:r>
          </w:p>
        </w:tc>
      </w:tr>
    </w:tbl>
    <w:p w14:paraId="6710B4FC" w14:textId="77777777" w:rsidR="00925D2D" w:rsidRDefault="00925D2D" w:rsidP="00925D2D">
      <w:pPr>
        <w:widowControl w:val="0"/>
        <w:spacing w:before="60" w:after="60" w:line="240" w:lineRule="auto"/>
        <w:rPr>
          <w:rFonts w:ascii="Open Sans" w:eastAsia="Open Sans" w:hAnsi="Open Sans" w:cs="Open Sans"/>
          <w:color w:val="666666"/>
          <w:sz w:val="20"/>
          <w:szCs w:val="20"/>
        </w:rPr>
      </w:pPr>
    </w:p>
    <w:tbl>
      <w:tblPr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00"/>
      </w:tblGrid>
      <w:tr w:rsidR="00925D2D" w14:paraId="05CE9688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02D0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A22F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#13: Associar alunos a turmas</w:t>
            </w:r>
          </w:p>
        </w:tc>
      </w:tr>
      <w:tr w:rsidR="00925D2D" w14:paraId="598EE8E1" w14:textId="77777777" w:rsidTr="0067473A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8E62" w14:textId="77777777" w:rsidR="00925D2D" w:rsidRDefault="00925D2D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4188" w14:textId="69107035" w:rsidR="00925D2D" w:rsidRDefault="00925D2D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Os STIC irão atribuir alunos </w:t>
            </w: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ás</w:t>
            </w:r>
            <w:proofErr w:type="gram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diferentes turmas de uma UC.</w:t>
            </w:r>
          </w:p>
        </w:tc>
      </w:tr>
    </w:tbl>
    <w:p w14:paraId="0A2E08D2" w14:textId="0089331D" w:rsidR="009778A3" w:rsidRDefault="009778A3" w:rsidP="00366095">
      <w:bookmarkStart w:id="5" w:name="_nbb9xy3axn4f" w:colFirst="0" w:colLast="0"/>
      <w:bookmarkEnd w:id="5"/>
    </w:p>
    <w:p w14:paraId="2A8D0F1A" w14:textId="3A2A79FD" w:rsidR="00925D2D" w:rsidRPr="00366095" w:rsidRDefault="009778A3" w:rsidP="00366095">
      <w:r>
        <w:br w:type="page"/>
      </w:r>
    </w:p>
    <w:p w14:paraId="79E0D0C4" w14:textId="6720485E" w:rsidR="0098355D" w:rsidRDefault="009B17DB" w:rsidP="00366095">
      <w:pPr>
        <w:pStyle w:val="Heading1"/>
      </w:pPr>
      <w:bookmarkStart w:id="6" w:name="_Toc98195063"/>
      <w:r>
        <w:lastRenderedPageBreak/>
        <w:t xml:space="preserve">Ex </w:t>
      </w:r>
      <w:r w:rsidR="00CF4CF3">
        <w:t>2</w:t>
      </w:r>
      <w:r>
        <w:t>.3</w:t>
      </w:r>
      <w:bookmarkEnd w:id="6"/>
    </w:p>
    <w:p w14:paraId="5C851A4F" w14:textId="393DC3C3" w:rsidR="00765DC5" w:rsidRPr="00765DC5" w:rsidRDefault="00765DC5" w:rsidP="00765DC5">
      <w:r w:rsidRPr="00765DC5">
        <w:t xml:space="preserve">No nosso caso, </w:t>
      </w:r>
      <w:r w:rsidRPr="00765DC5">
        <w:rPr>
          <w:b/>
          <w:bCs/>
        </w:rPr>
        <w:t>Entregar Trabalho</w:t>
      </w:r>
      <w:r w:rsidRPr="00765DC5">
        <w:t xml:space="preserve"> traduz-se para </w:t>
      </w:r>
      <w:r w:rsidRPr="00765DC5">
        <w:rPr>
          <w:b/>
          <w:bCs/>
        </w:rPr>
        <w:t>Submeter Ficheiros</w:t>
      </w:r>
      <w:r w:rsidRPr="00765DC5">
        <w:t>. Achamos por bem englobar casos em que o aluno pode submeter ficheiros para análise que nem sempre são de trabalhos.</w:t>
      </w:r>
    </w:p>
    <w:tbl>
      <w:tblPr>
        <w:tblW w:w="8992" w:type="dxa"/>
        <w:tblLayout w:type="fixed"/>
        <w:tblLook w:val="0600" w:firstRow="0" w:lastRow="0" w:firstColumn="0" w:lastColumn="0" w:noHBand="1" w:noVBand="1"/>
      </w:tblPr>
      <w:tblGrid>
        <w:gridCol w:w="1680"/>
        <w:gridCol w:w="7312"/>
      </w:tblGrid>
      <w:tr w:rsidR="00765DC5" w14:paraId="5A0093B4" w14:textId="77777777" w:rsidTr="00B87EE7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BCC2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Caso de utilização:</w:t>
            </w:r>
          </w:p>
        </w:tc>
        <w:tc>
          <w:tcPr>
            <w:tcW w:w="7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3DD2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Submeter Ficheiros</w:t>
            </w:r>
          </w:p>
        </w:tc>
      </w:tr>
      <w:tr w:rsidR="00765DC5" w:rsidRPr="00D4238C" w14:paraId="3A5B2DC1" w14:textId="77777777" w:rsidTr="00B87EE7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483D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Versão:</w:t>
            </w:r>
          </w:p>
        </w:tc>
        <w:tc>
          <w:tcPr>
            <w:tcW w:w="7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42EC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Grupo 304 (AC, CA, ES, HD, TM), v2022/03/14</w:t>
            </w:r>
          </w:p>
        </w:tc>
      </w:tr>
      <w:tr w:rsidR="00765DC5" w:rsidRPr="00D4238C" w14:paraId="50A51121" w14:textId="77777777" w:rsidTr="00B87EE7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0CAB" w14:textId="77777777" w:rsidR="00765DC5" w:rsidRDefault="00765DC5" w:rsidP="0067473A">
            <w:pPr>
              <w:widowControl w:val="0"/>
              <w:spacing w:before="60" w:after="6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Breve descrição</w:t>
            </w:r>
          </w:p>
        </w:tc>
        <w:tc>
          <w:tcPr>
            <w:tcW w:w="7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E7DE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O Docente cria uma nova área de submissão de ficheiros para os alunos da página da disciplina. A submissão fica disponível para os alunos da disciplina e aceita entregas nos formatos e período que o Docente configurou.</w:t>
            </w:r>
          </w:p>
        </w:tc>
      </w:tr>
      <w:tr w:rsidR="00765DC5" w:rsidRPr="00D4238C" w14:paraId="1468E8FE" w14:textId="77777777" w:rsidTr="00B87EE7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04E3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Pré-condições:</w:t>
            </w:r>
          </w:p>
        </w:tc>
        <w:tc>
          <w:tcPr>
            <w:tcW w:w="7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79DD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O Aluno está autenticado no sistema.</w:t>
            </w:r>
          </w:p>
          <w:p w14:paraId="573F07B9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O Aluno tem permissão para submeter o ficheiro no local devido.</w:t>
            </w:r>
          </w:p>
          <w:p w14:paraId="2818288A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O Aluno está inscrito na turma que deve entregar o ficheiro.</w:t>
            </w:r>
          </w:p>
          <w:p w14:paraId="41D7F1ED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9900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 xml:space="preserve">O Docente criou uma </w:t>
            </w:r>
            <w:r w:rsidRPr="00D4238C">
              <w:rPr>
                <w:rFonts w:ascii="Open Sans" w:eastAsia="Open Sans" w:hAnsi="Open Sans" w:cs="Open Sans"/>
                <w:b/>
                <w:sz w:val="20"/>
                <w:szCs w:val="20"/>
              </w:rPr>
              <w:t>área para submissão do ficheiro</w:t>
            </w: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</w:tc>
      </w:tr>
      <w:tr w:rsidR="00765DC5" w:rsidRPr="00D4238C" w14:paraId="2A2CCD0B" w14:textId="77777777" w:rsidTr="00B87EE7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0E39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Pós-condições</w:t>
            </w:r>
          </w:p>
        </w:tc>
        <w:tc>
          <w:tcPr>
            <w:tcW w:w="7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228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O ficheiro aparece como submetido</w:t>
            </w:r>
          </w:p>
          <w:p w14:paraId="41D52D04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FF0000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O aluno pode editar/eliminar os ficheiros submetidos</w:t>
            </w:r>
          </w:p>
        </w:tc>
      </w:tr>
      <w:tr w:rsidR="00765DC5" w:rsidRPr="00D4238C" w14:paraId="2077C0A9" w14:textId="77777777" w:rsidTr="00B87EE7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E9A1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Fluxo base:</w:t>
            </w:r>
          </w:p>
        </w:tc>
        <w:tc>
          <w:tcPr>
            <w:tcW w:w="7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75AB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1. Selecionar cadeira na </w:t>
            </w:r>
            <w:proofErr w:type="spellStart"/>
            <w:r w:rsidRPr="00D4238C">
              <w:rPr>
                <w:rFonts w:ascii="Open Sans" w:eastAsia="Open Sans" w:hAnsi="Open Sans" w:cs="Open Sans"/>
                <w:b/>
                <w:sz w:val="20"/>
                <w:szCs w:val="20"/>
              </w:rPr>
              <w:t>Dashboard</w:t>
            </w:r>
            <w:proofErr w:type="spellEnd"/>
          </w:p>
          <w:p w14:paraId="2F73F318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Inicia quando o aluno entra no sistema e pode escolher dentre as várias cadeiras aquela a que pretende aceder.</w:t>
            </w:r>
          </w:p>
          <w:p w14:paraId="0E41AE9F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2.  Selecionar o evento da submissão  </w:t>
            </w:r>
          </w:p>
          <w:p w14:paraId="08D4C782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Já dentro da página da cadeira o aluno procura o evento a que pretende aceder para proceder à submissão do ficheiro.</w:t>
            </w:r>
          </w:p>
          <w:p w14:paraId="65F66D1D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b/>
                <w:sz w:val="20"/>
                <w:szCs w:val="20"/>
              </w:rPr>
              <w:t>3. Selecionar o(s) ficheiro(s) a submeter</w:t>
            </w:r>
          </w:p>
          <w:p w14:paraId="39C4D5CA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Uma vez selecionado o evento de submissão o aluno vai navegar pelos ficheiros do seu computador para procurar o ficheiro que deseja submeter e confirmar essa escolha.</w:t>
            </w:r>
          </w:p>
          <w:p w14:paraId="4F4A8192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4.  Concluir 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submissao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</w:p>
          <w:p w14:paraId="78599A0C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Escolhido o ficheiro para submeter o aluno apenas tem de confirmar toda a ação de submissão.</w:t>
            </w:r>
          </w:p>
        </w:tc>
      </w:tr>
      <w:tr w:rsidR="00765DC5" w:rsidRPr="00D4238C" w14:paraId="076BEC41" w14:textId="77777777" w:rsidTr="00B87EE7">
        <w:trPr>
          <w:trHeight w:val="3045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E871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Fluxos alternativos:</w:t>
            </w:r>
          </w:p>
        </w:tc>
        <w:tc>
          <w:tcPr>
            <w:tcW w:w="7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F0BF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2.  Selecionar o evento na </w:t>
            </w: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Dashboard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</w:p>
          <w:p w14:paraId="20B3A3FC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Inicia quando o aluno entra no sistema e pode aceder à página de submissão através de um atalho do evento da submissão</w:t>
            </w:r>
          </w:p>
          <w:p w14:paraId="26A6B0CC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b/>
                <w:sz w:val="20"/>
                <w:szCs w:val="20"/>
              </w:rPr>
              <w:t>3. Selecionar o(s) ficheiro(s) a submeter</w:t>
            </w:r>
          </w:p>
          <w:p w14:paraId="63D94911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Uma vez selecionado o evento de submissão o aluno vai navegar pelos ficheiros do seu computador para procurar o ficheiro que deseja submeter e confirmar essa escolha.</w:t>
            </w:r>
          </w:p>
          <w:p w14:paraId="21D4EB8B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4.  Concluir submissão </w:t>
            </w:r>
          </w:p>
          <w:p w14:paraId="005CE939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Escolhido o ficheiro para submeter o aluno apenas tem de confirmar toda a ação de submissão.</w:t>
            </w:r>
          </w:p>
        </w:tc>
      </w:tr>
      <w:tr w:rsidR="00765DC5" w:rsidRPr="00D4238C" w14:paraId="463C0689" w14:textId="77777777" w:rsidTr="00B87EE7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2419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Exceções:</w:t>
            </w:r>
          </w:p>
        </w:tc>
        <w:tc>
          <w:tcPr>
            <w:tcW w:w="7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BAEC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Sistema de autenticação indisponível</w:t>
            </w:r>
          </w:p>
          <w:p w14:paraId="49BBD736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Aluno não está nesta UC</w:t>
            </w:r>
          </w:p>
        </w:tc>
      </w:tr>
      <w:tr w:rsidR="00765DC5" w:rsidRPr="00D4238C" w14:paraId="55DB1711" w14:textId="77777777" w:rsidTr="00B87EE7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A065" w14:textId="77777777" w:rsidR="00765DC5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Requisitos especiais:</w:t>
            </w:r>
          </w:p>
        </w:tc>
        <w:tc>
          <w:tcPr>
            <w:tcW w:w="7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0860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>[Usabilidade] Os ficheiros submetidos usam uma extensão permitida pelo Docente.</w:t>
            </w:r>
          </w:p>
          <w:p w14:paraId="5AF721DE" w14:textId="77777777" w:rsidR="00765DC5" w:rsidRPr="00D4238C" w:rsidRDefault="00765DC5" w:rsidP="0067473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 xml:space="preserve">[Usabilidade] A escolha de ficheiros do sistema de ficheiros deve, em alternativa, suportar </w:t>
            </w:r>
            <w:r w:rsidRPr="00D4238C">
              <w:rPr>
                <w:rFonts w:ascii="Open Sans" w:eastAsia="Open Sans" w:hAnsi="Open Sans" w:cs="Open Sans"/>
                <w:i/>
                <w:sz w:val="20"/>
                <w:szCs w:val="20"/>
              </w:rPr>
              <w:t>drag-</w:t>
            </w:r>
            <w:proofErr w:type="spellStart"/>
            <w:r w:rsidRPr="00D4238C">
              <w:rPr>
                <w:rFonts w:ascii="Open Sans" w:eastAsia="Open Sans" w:hAnsi="Open Sans" w:cs="Open Sans"/>
                <w:i/>
                <w:sz w:val="20"/>
                <w:szCs w:val="20"/>
              </w:rPr>
              <w:t>and</w:t>
            </w:r>
            <w:proofErr w:type="spellEnd"/>
            <w:r w:rsidRPr="00D4238C">
              <w:rPr>
                <w:rFonts w:ascii="Open Sans" w:eastAsia="Open Sans" w:hAnsi="Open Sans" w:cs="Open Sans"/>
                <w:i/>
                <w:sz w:val="20"/>
                <w:szCs w:val="20"/>
              </w:rPr>
              <w:t>-</w:t>
            </w:r>
            <w:proofErr w:type="spellStart"/>
            <w:r w:rsidRPr="00D4238C">
              <w:rPr>
                <w:rFonts w:ascii="Open Sans" w:eastAsia="Open Sans" w:hAnsi="Open Sans" w:cs="Open Sans"/>
                <w:i/>
                <w:sz w:val="20"/>
                <w:szCs w:val="20"/>
              </w:rPr>
              <w:t>drop</w:t>
            </w:r>
            <w:proofErr w:type="spellEnd"/>
            <w:r w:rsidRPr="00D4238C">
              <w:rPr>
                <w:rFonts w:ascii="Open Sans" w:eastAsia="Open Sans" w:hAnsi="Open Sans" w:cs="Open Sans"/>
                <w:sz w:val="20"/>
                <w:szCs w:val="20"/>
              </w:rPr>
              <w:t xml:space="preserve"> para a página.</w:t>
            </w:r>
          </w:p>
        </w:tc>
      </w:tr>
    </w:tbl>
    <w:p w14:paraId="13E899E7" w14:textId="77777777" w:rsidR="009B17DB" w:rsidRPr="009B17DB" w:rsidRDefault="009B17DB" w:rsidP="00366095">
      <w:pPr>
        <w:spacing w:line="360" w:lineRule="auto"/>
        <w:jc w:val="both"/>
      </w:pPr>
    </w:p>
    <w:p w14:paraId="52E29F8E" w14:textId="3E411DAA" w:rsidR="00C95432" w:rsidRDefault="009B17DB" w:rsidP="00366095">
      <w:pPr>
        <w:pStyle w:val="Heading1"/>
      </w:pPr>
      <w:bookmarkStart w:id="7" w:name="_Toc98195064"/>
      <w:r>
        <w:t xml:space="preserve">Ex </w:t>
      </w:r>
      <w:r w:rsidR="00CF4CF3">
        <w:t>2</w:t>
      </w:r>
      <w:r>
        <w:t>.4</w:t>
      </w:r>
      <w:bookmarkEnd w:id="7"/>
    </w:p>
    <w:p w14:paraId="416EF6CD" w14:textId="36A4117D" w:rsidR="00366095" w:rsidRDefault="009778A3" w:rsidP="009778A3">
      <w:pPr>
        <w:pStyle w:val="Heading2"/>
      </w:pPr>
      <w:bookmarkStart w:id="8" w:name="_Toc98195065"/>
      <w:r>
        <w:t>Alínea a</w:t>
      </w:r>
      <w:bookmarkEnd w:id="8"/>
    </w:p>
    <w:p w14:paraId="4F3FABB2" w14:textId="07E0CF95" w:rsidR="009778A3" w:rsidRDefault="000269B5" w:rsidP="009778A3">
      <w:r>
        <w:rPr>
          <w:noProof/>
        </w:rPr>
        <w:drawing>
          <wp:inline distT="0" distB="0" distL="0" distR="0" wp14:anchorId="56883416" wp14:editId="71386404">
            <wp:extent cx="5731510" cy="2259330"/>
            <wp:effectExtent l="0" t="0" r="254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ABCD" w14:textId="541EA5EC" w:rsidR="009778A3" w:rsidRPr="009778A3" w:rsidRDefault="009778A3" w:rsidP="009778A3">
      <w:r>
        <w:br w:type="page"/>
      </w:r>
    </w:p>
    <w:p w14:paraId="0D6637F8" w14:textId="288A84AE" w:rsidR="009778A3" w:rsidRDefault="009778A3" w:rsidP="009778A3">
      <w:pPr>
        <w:pStyle w:val="Heading2"/>
      </w:pPr>
      <w:bookmarkStart w:id="9" w:name="_Toc98195066"/>
      <w:r>
        <w:lastRenderedPageBreak/>
        <w:t>Alínea b</w:t>
      </w:r>
      <w:bookmarkEnd w:id="9"/>
    </w:p>
    <w:p w14:paraId="6510C267" w14:textId="483E98CA" w:rsidR="009778A3" w:rsidRDefault="0046002F" w:rsidP="009778A3">
      <w:r>
        <w:rPr>
          <w:noProof/>
        </w:rPr>
        <w:drawing>
          <wp:inline distT="0" distB="0" distL="0" distR="0" wp14:anchorId="2478568D" wp14:editId="6B54326C">
            <wp:extent cx="5731510" cy="394716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9FAE" w14:textId="77777777" w:rsidR="0046002F" w:rsidRDefault="0046002F" w:rsidP="0046002F">
      <w:pPr>
        <w:spacing w:line="360" w:lineRule="auto"/>
        <w:jc w:val="both"/>
        <w:rPr>
          <w:b/>
          <w:bCs/>
        </w:rPr>
      </w:pPr>
    </w:p>
    <w:p w14:paraId="793A836B" w14:textId="181F5013" w:rsidR="0046002F" w:rsidRDefault="0046002F" w:rsidP="0046002F">
      <w:pPr>
        <w:spacing w:line="360" w:lineRule="auto"/>
        <w:jc w:val="both"/>
      </w:pPr>
      <w:r w:rsidRPr="0046002F">
        <w:rPr>
          <w:b/>
          <w:bCs/>
        </w:rPr>
        <w:t>Falsos Casos de Utilização</w:t>
      </w:r>
      <w:r>
        <w:t>:</w:t>
      </w:r>
    </w:p>
    <w:p w14:paraId="54D0AA1D" w14:textId="77777777" w:rsidR="0046002F" w:rsidRDefault="0046002F" w:rsidP="0046002F">
      <w:pPr>
        <w:pStyle w:val="ListParagraph"/>
        <w:numPr>
          <w:ilvl w:val="0"/>
          <w:numId w:val="7"/>
        </w:numPr>
        <w:spacing w:line="360" w:lineRule="auto"/>
        <w:jc w:val="both"/>
      </w:pPr>
      <w:r>
        <w:t>Não é possível cancelar o cheque dentista.</w:t>
      </w:r>
    </w:p>
    <w:p w14:paraId="392E318E" w14:textId="2822889B" w:rsidR="0046002F" w:rsidRDefault="0046002F" w:rsidP="0046002F">
      <w:pPr>
        <w:pStyle w:val="ListParagraph"/>
        <w:numPr>
          <w:ilvl w:val="0"/>
          <w:numId w:val="7"/>
        </w:numPr>
        <w:spacing w:line="360" w:lineRule="auto"/>
        <w:jc w:val="both"/>
      </w:pPr>
      <w:r>
        <w:t>Não é necessária a assinatura do Utente no cheque dentista.</w:t>
      </w:r>
    </w:p>
    <w:p w14:paraId="79DB9002" w14:textId="03E9602B" w:rsidR="0046002F" w:rsidRPr="0046002F" w:rsidRDefault="0046002F" w:rsidP="0046002F">
      <w:pPr>
        <w:spacing w:line="360" w:lineRule="auto"/>
        <w:jc w:val="both"/>
        <w:rPr>
          <w:b/>
          <w:bCs/>
        </w:rPr>
      </w:pPr>
      <w:r w:rsidRPr="0046002F">
        <w:rPr>
          <w:b/>
          <w:bCs/>
        </w:rPr>
        <w:t>Decomposição Excessiva de Detalhes:</w:t>
      </w:r>
    </w:p>
    <w:p w14:paraId="39809684" w14:textId="45805DDB" w:rsidR="0046002F" w:rsidRDefault="0046002F" w:rsidP="0046002F">
      <w:pPr>
        <w:pStyle w:val="ListParagraph"/>
        <w:numPr>
          <w:ilvl w:val="0"/>
          <w:numId w:val="8"/>
        </w:numPr>
        <w:spacing w:line="360" w:lineRule="auto"/>
        <w:jc w:val="both"/>
      </w:pPr>
      <w:r>
        <w:t>Selecionar o dente do odontograma faz parte do tratamento do Utente (Tratar Utente) não devendo estar no Diagrama.</w:t>
      </w:r>
    </w:p>
    <w:p w14:paraId="1E6BAEEF" w14:textId="7BF98958" w:rsidR="0046002F" w:rsidRPr="0046002F" w:rsidRDefault="0046002F" w:rsidP="0046002F">
      <w:pPr>
        <w:spacing w:line="360" w:lineRule="auto"/>
        <w:jc w:val="both"/>
        <w:rPr>
          <w:b/>
          <w:bCs/>
        </w:rPr>
      </w:pPr>
      <w:r w:rsidRPr="0046002F">
        <w:rPr>
          <w:b/>
          <w:bCs/>
        </w:rPr>
        <w:t>Casos de utilização fora do sistema:</w:t>
      </w:r>
    </w:p>
    <w:p w14:paraId="2422D760" w14:textId="3F67FEAC" w:rsidR="0046002F" w:rsidRDefault="0046002F" w:rsidP="0046002F">
      <w:pPr>
        <w:pStyle w:val="ListParagraph"/>
        <w:numPr>
          <w:ilvl w:val="0"/>
          <w:numId w:val="8"/>
        </w:numPr>
        <w:spacing w:line="360" w:lineRule="auto"/>
        <w:jc w:val="both"/>
      </w:pPr>
      <w:r>
        <w:t>O agendamento da consulta pelo Utente não é feito através do SISO.</w:t>
      </w:r>
    </w:p>
    <w:p w14:paraId="1C2F7601" w14:textId="77777777" w:rsidR="0046002F" w:rsidRDefault="0046002F" w:rsidP="0046002F">
      <w:pPr>
        <w:pStyle w:val="ListParagraph"/>
        <w:numPr>
          <w:ilvl w:val="0"/>
          <w:numId w:val="8"/>
        </w:numPr>
        <w:spacing w:line="360" w:lineRule="auto"/>
        <w:jc w:val="both"/>
      </w:pPr>
      <w:r>
        <w:t>O tratamento do Utente não é necessário para o acesso ao SISO.</w:t>
      </w:r>
    </w:p>
    <w:p w14:paraId="6D2CA69D" w14:textId="77777777" w:rsidR="0046002F" w:rsidRDefault="0046002F" w:rsidP="0046002F">
      <w:pPr>
        <w:spacing w:line="360" w:lineRule="auto"/>
        <w:jc w:val="both"/>
      </w:pPr>
      <w:r w:rsidRPr="0046002F">
        <w:rPr>
          <w:b/>
          <w:bCs/>
        </w:rPr>
        <w:t>Nome(s) que não refletem a intenção do ator:</w:t>
      </w:r>
    </w:p>
    <w:p w14:paraId="6CD3891F" w14:textId="13A1EE6B" w:rsidR="000269B5" w:rsidRDefault="0046002F" w:rsidP="0046002F">
      <w:pPr>
        <w:pStyle w:val="ListParagraph"/>
        <w:numPr>
          <w:ilvl w:val="0"/>
          <w:numId w:val="9"/>
        </w:numPr>
        <w:spacing w:line="360" w:lineRule="auto"/>
        <w:jc w:val="both"/>
      </w:pPr>
      <w:r>
        <w:t>Preencher o formulário de pesquisa devendo passar para o nome “Pesquisa do Cheque Dentista”.</w:t>
      </w:r>
    </w:p>
    <w:p w14:paraId="464441DB" w14:textId="77777777" w:rsidR="0046002F" w:rsidRPr="009778A3" w:rsidRDefault="0046002F" w:rsidP="0046002F">
      <w:pPr>
        <w:spacing w:line="360" w:lineRule="auto"/>
        <w:jc w:val="both"/>
      </w:pPr>
    </w:p>
    <w:p w14:paraId="257DE6BC" w14:textId="4E33DCA2" w:rsidR="009778A3" w:rsidRPr="00366095" w:rsidRDefault="009778A3" w:rsidP="009778A3">
      <w:pPr>
        <w:pStyle w:val="Heading2"/>
      </w:pPr>
      <w:bookmarkStart w:id="10" w:name="_Toc98195067"/>
      <w:r>
        <w:lastRenderedPageBreak/>
        <w:t>Alínea c</w:t>
      </w:r>
      <w:bookmarkEnd w:id="10"/>
    </w:p>
    <w:p w14:paraId="1EBB2AD0" w14:textId="38495549" w:rsidR="009778A3" w:rsidRPr="009778A3" w:rsidRDefault="00C42DF1" w:rsidP="009778A3">
      <w:r>
        <w:rPr>
          <w:noProof/>
        </w:rPr>
        <w:drawing>
          <wp:inline distT="0" distB="0" distL="0" distR="0" wp14:anchorId="7059B5C5" wp14:editId="318390F1">
            <wp:extent cx="5731510" cy="4493895"/>
            <wp:effectExtent l="0" t="0" r="254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8A3" w:rsidRPr="009778A3" w:rsidSect="00212697">
      <w:footerReference w:type="default" r:id="rId12"/>
      <w:headerReference w:type="first" r:id="rId13"/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68B5" w14:textId="77777777" w:rsidR="003F4CC5" w:rsidRDefault="003F4CC5" w:rsidP="00000568">
      <w:pPr>
        <w:spacing w:after="0" w:line="240" w:lineRule="auto"/>
      </w:pPr>
      <w:r>
        <w:separator/>
      </w:r>
    </w:p>
  </w:endnote>
  <w:endnote w:type="continuationSeparator" w:id="0">
    <w:p w14:paraId="066FDE3E" w14:textId="77777777" w:rsidR="003F4CC5" w:rsidRDefault="003F4CC5" w:rsidP="0000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E517" w14:textId="77777777" w:rsidR="00556318" w:rsidRDefault="0055631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69BF276" w14:textId="77777777" w:rsidR="00000568" w:rsidRDefault="00000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CB58" w14:textId="77777777" w:rsidR="003F4CC5" w:rsidRDefault="003F4CC5" w:rsidP="00000568">
      <w:pPr>
        <w:spacing w:after="0" w:line="240" w:lineRule="auto"/>
      </w:pPr>
      <w:r>
        <w:separator/>
      </w:r>
    </w:p>
  </w:footnote>
  <w:footnote w:type="continuationSeparator" w:id="0">
    <w:p w14:paraId="3EAF822A" w14:textId="77777777" w:rsidR="003F4CC5" w:rsidRDefault="003F4CC5" w:rsidP="0000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7341" w14:textId="78C85280" w:rsidR="00000568" w:rsidRDefault="002618E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884BC5" wp14:editId="3B6D0470">
          <wp:simplePos x="0" y="0"/>
          <wp:positionH relativeFrom="margin">
            <wp:align>right</wp:align>
          </wp:positionH>
          <wp:positionV relativeFrom="paragraph">
            <wp:posOffset>-15875</wp:posOffset>
          </wp:positionV>
          <wp:extent cx="3018155" cy="466725"/>
          <wp:effectExtent l="0" t="0" r="0" b="9525"/>
          <wp:wrapTight wrapText="bothSides">
            <wp:wrapPolygon edited="0">
              <wp:start x="954" y="2645"/>
              <wp:lineTo x="0" y="9698"/>
              <wp:lineTo x="273" y="16751"/>
              <wp:lineTo x="4635" y="20278"/>
              <wp:lineTo x="11725" y="21159"/>
              <wp:lineTo x="12543" y="21159"/>
              <wp:lineTo x="21405" y="20278"/>
              <wp:lineTo x="21405" y="14106"/>
              <wp:lineTo x="19496" y="6171"/>
              <wp:lineTo x="18133" y="2645"/>
              <wp:lineTo x="954" y="2645"/>
            </wp:wrapPolygon>
          </wp:wrapTight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511"/>
                  <a:stretch/>
                </pic:blipFill>
                <pic:spPr bwMode="auto">
                  <a:xfrm>
                    <a:off x="0" y="0"/>
                    <a:ext cx="301815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FCAAA1A" wp14:editId="05AD739C">
          <wp:simplePos x="0" y="0"/>
          <wp:positionH relativeFrom="margin">
            <wp:align>left</wp:align>
          </wp:positionH>
          <wp:positionV relativeFrom="paragraph">
            <wp:posOffset>-171450</wp:posOffset>
          </wp:positionV>
          <wp:extent cx="1657350" cy="620395"/>
          <wp:effectExtent l="0" t="0" r="0" b="8255"/>
          <wp:wrapThrough wrapText="bothSides">
            <wp:wrapPolygon edited="0">
              <wp:start x="2483" y="0"/>
              <wp:lineTo x="0" y="663"/>
              <wp:lineTo x="0" y="21224"/>
              <wp:lineTo x="7448" y="21224"/>
              <wp:lineTo x="21352" y="18571"/>
              <wp:lineTo x="21352" y="6633"/>
              <wp:lineTo x="4221" y="0"/>
              <wp:lineTo x="2483" y="0"/>
            </wp:wrapPolygon>
          </wp:wrapThrough>
          <wp:docPr id="12" name="Picture 1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6CD"/>
    <w:multiLevelType w:val="hybridMultilevel"/>
    <w:tmpl w:val="BF76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716"/>
    <w:multiLevelType w:val="hybridMultilevel"/>
    <w:tmpl w:val="2468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24C6"/>
    <w:multiLevelType w:val="hybridMultilevel"/>
    <w:tmpl w:val="097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58C3"/>
    <w:multiLevelType w:val="hybridMultilevel"/>
    <w:tmpl w:val="FE883B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79A3"/>
    <w:multiLevelType w:val="hybridMultilevel"/>
    <w:tmpl w:val="6F5A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E2E5A"/>
    <w:multiLevelType w:val="hybridMultilevel"/>
    <w:tmpl w:val="D134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06BF2"/>
    <w:multiLevelType w:val="hybridMultilevel"/>
    <w:tmpl w:val="C622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109AC"/>
    <w:multiLevelType w:val="hybridMultilevel"/>
    <w:tmpl w:val="3D5C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823B2"/>
    <w:multiLevelType w:val="hybridMultilevel"/>
    <w:tmpl w:val="1284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68"/>
    <w:rsid w:val="00000568"/>
    <w:rsid w:val="0000347D"/>
    <w:rsid w:val="000269B5"/>
    <w:rsid w:val="00032935"/>
    <w:rsid w:val="00041BB9"/>
    <w:rsid w:val="00050A1D"/>
    <w:rsid w:val="00050DF8"/>
    <w:rsid w:val="000A1518"/>
    <w:rsid w:val="000A7B25"/>
    <w:rsid w:val="000C01EE"/>
    <w:rsid w:val="000C61C3"/>
    <w:rsid w:val="000E6800"/>
    <w:rsid w:val="00117256"/>
    <w:rsid w:val="001217B0"/>
    <w:rsid w:val="00121B93"/>
    <w:rsid w:val="001476C9"/>
    <w:rsid w:val="00192EE5"/>
    <w:rsid w:val="002073C3"/>
    <w:rsid w:val="00212697"/>
    <w:rsid w:val="00216814"/>
    <w:rsid w:val="002618EF"/>
    <w:rsid w:val="002D4590"/>
    <w:rsid w:val="002E6F1F"/>
    <w:rsid w:val="003170A4"/>
    <w:rsid w:val="00350A37"/>
    <w:rsid w:val="00362881"/>
    <w:rsid w:val="00366095"/>
    <w:rsid w:val="00371E5C"/>
    <w:rsid w:val="00391CFF"/>
    <w:rsid w:val="00392D9A"/>
    <w:rsid w:val="00396E53"/>
    <w:rsid w:val="003A7A93"/>
    <w:rsid w:val="003F4CC5"/>
    <w:rsid w:val="00402AAD"/>
    <w:rsid w:val="00406CF4"/>
    <w:rsid w:val="004106B2"/>
    <w:rsid w:val="0042286A"/>
    <w:rsid w:val="0046002F"/>
    <w:rsid w:val="004A3AFC"/>
    <w:rsid w:val="004B340B"/>
    <w:rsid w:val="00534525"/>
    <w:rsid w:val="00540332"/>
    <w:rsid w:val="00544D17"/>
    <w:rsid w:val="00556318"/>
    <w:rsid w:val="0056542B"/>
    <w:rsid w:val="005676C9"/>
    <w:rsid w:val="00573927"/>
    <w:rsid w:val="0057464D"/>
    <w:rsid w:val="005843E0"/>
    <w:rsid w:val="00586818"/>
    <w:rsid w:val="005B4EE4"/>
    <w:rsid w:val="005D26F8"/>
    <w:rsid w:val="005D3AB4"/>
    <w:rsid w:val="005D4726"/>
    <w:rsid w:val="005E17D5"/>
    <w:rsid w:val="00600CD2"/>
    <w:rsid w:val="00612A7D"/>
    <w:rsid w:val="00631DC4"/>
    <w:rsid w:val="0064335A"/>
    <w:rsid w:val="00646314"/>
    <w:rsid w:val="00656306"/>
    <w:rsid w:val="0067473A"/>
    <w:rsid w:val="00677F22"/>
    <w:rsid w:val="00685FC0"/>
    <w:rsid w:val="006C271E"/>
    <w:rsid w:val="006C63CF"/>
    <w:rsid w:val="006D7855"/>
    <w:rsid w:val="006E68FA"/>
    <w:rsid w:val="0071304D"/>
    <w:rsid w:val="0071638F"/>
    <w:rsid w:val="00721F81"/>
    <w:rsid w:val="007274A1"/>
    <w:rsid w:val="007432CB"/>
    <w:rsid w:val="00757348"/>
    <w:rsid w:val="00765DC5"/>
    <w:rsid w:val="007B39FC"/>
    <w:rsid w:val="007C5478"/>
    <w:rsid w:val="007C5958"/>
    <w:rsid w:val="007C6FCA"/>
    <w:rsid w:val="007D5934"/>
    <w:rsid w:val="007E02D9"/>
    <w:rsid w:val="007E788F"/>
    <w:rsid w:val="008005E4"/>
    <w:rsid w:val="00800AA1"/>
    <w:rsid w:val="008267FA"/>
    <w:rsid w:val="00847FD5"/>
    <w:rsid w:val="00854AC6"/>
    <w:rsid w:val="0086759F"/>
    <w:rsid w:val="008768CD"/>
    <w:rsid w:val="008F1C10"/>
    <w:rsid w:val="00906A24"/>
    <w:rsid w:val="009129B5"/>
    <w:rsid w:val="00912C48"/>
    <w:rsid w:val="00916A5C"/>
    <w:rsid w:val="00923883"/>
    <w:rsid w:val="00925D2D"/>
    <w:rsid w:val="00926FEB"/>
    <w:rsid w:val="00943E68"/>
    <w:rsid w:val="009500FA"/>
    <w:rsid w:val="00951518"/>
    <w:rsid w:val="00952B72"/>
    <w:rsid w:val="00961BB9"/>
    <w:rsid w:val="009778A3"/>
    <w:rsid w:val="0098355D"/>
    <w:rsid w:val="00983F98"/>
    <w:rsid w:val="009B17DB"/>
    <w:rsid w:val="009C6C39"/>
    <w:rsid w:val="00A15C2E"/>
    <w:rsid w:val="00A22ACC"/>
    <w:rsid w:val="00A238F1"/>
    <w:rsid w:val="00A23A5E"/>
    <w:rsid w:val="00A244B7"/>
    <w:rsid w:val="00A27A7D"/>
    <w:rsid w:val="00A358C3"/>
    <w:rsid w:val="00A82525"/>
    <w:rsid w:val="00A84D2A"/>
    <w:rsid w:val="00AB7FCB"/>
    <w:rsid w:val="00AC19A7"/>
    <w:rsid w:val="00AC40C0"/>
    <w:rsid w:val="00AC5360"/>
    <w:rsid w:val="00AD790E"/>
    <w:rsid w:val="00AE2C90"/>
    <w:rsid w:val="00AE468A"/>
    <w:rsid w:val="00AF1DB6"/>
    <w:rsid w:val="00AF4F06"/>
    <w:rsid w:val="00B046D4"/>
    <w:rsid w:val="00B51422"/>
    <w:rsid w:val="00B51A53"/>
    <w:rsid w:val="00B5580F"/>
    <w:rsid w:val="00B614B5"/>
    <w:rsid w:val="00B64285"/>
    <w:rsid w:val="00B80982"/>
    <w:rsid w:val="00B873C4"/>
    <w:rsid w:val="00B87EE7"/>
    <w:rsid w:val="00BA49FB"/>
    <w:rsid w:val="00BA6B8B"/>
    <w:rsid w:val="00BA6C80"/>
    <w:rsid w:val="00C350B1"/>
    <w:rsid w:val="00C42DF1"/>
    <w:rsid w:val="00C47A36"/>
    <w:rsid w:val="00C755D8"/>
    <w:rsid w:val="00C828A9"/>
    <w:rsid w:val="00C95432"/>
    <w:rsid w:val="00CB2373"/>
    <w:rsid w:val="00CD1C77"/>
    <w:rsid w:val="00CF4CF3"/>
    <w:rsid w:val="00D24DD6"/>
    <w:rsid w:val="00D34055"/>
    <w:rsid w:val="00D35D04"/>
    <w:rsid w:val="00D52045"/>
    <w:rsid w:val="00D71186"/>
    <w:rsid w:val="00D77B01"/>
    <w:rsid w:val="00D86986"/>
    <w:rsid w:val="00DA5479"/>
    <w:rsid w:val="00DC6F38"/>
    <w:rsid w:val="00DD740B"/>
    <w:rsid w:val="00DE43D3"/>
    <w:rsid w:val="00E15B38"/>
    <w:rsid w:val="00E17B08"/>
    <w:rsid w:val="00E3203D"/>
    <w:rsid w:val="00E3216C"/>
    <w:rsid w:val="00E3681D"/>
    <w:rsid w:val="00E44C15"/>
    <w:rsid w:val="00E63C25"/>
    <w:rsid w:val="00EA14C6"/>
    <w:rsid w:val="00EA202D"/>
    <w:rsid w:val="00EA4D39"/>
    <w:rsid w:val="00EF41AF"/>
    <w:rsid w:val="00F002D9"/>
    <w:rsid w:val="00F02168"/>
    <w:rsid w:val="00F11E2F"/>
    <w:rsid w:val="00F24563"/>
    <w:rsid w:val="00F60FE4"/>
    <w:rsid w:val="00F72963"/>
    <w:rsid w:val="00F82942"/>
    <w:rsid w:val="00FE3526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5E19D"/>
  <w15:docId w15:val="{01A984CB-A0CC-45C9-9697-D91A09C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14"/>
  </w:style>
  <w:style w:type="paragraph" w:styleId="Heading1">
    <w:name w:val="heading 1"/>
    <w:basedOn w:val="Normal"/>
    <w:next w:val="Normal"/>
    <w:link w:val="Heading1Char"/>
    <w:uiPriority w:val="9"/>
    <w:qFormat/>
    <w:rsid w:val="007C5958"/>
    <w:pPr>
      <w:keepNext/>
      <w:keepLines/>
      <w:spacing w:before="240" w:after="0" w:line="360" w:lineRule="auto"/>
      <w:jc w:val="both"/>
      <w:outlineLvl w:val="0"/>
    </w:pPr>
    <w:rPr>
      <w:rFonts w:ascii="Calibri" w:eastAsiaTheme="majorEastAsia" w:hAnsi="Calibri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A4"/>
    <w:pPr>
      <w:keepNext/>
      <w:keepLines/>
      <w:spacing w:before="40" w:after="0" w:line="360" w:lineRule="auto"/>
      <w:jc w:val="both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958"/>
    <w:pPr>
      <w:keepNext/>
      <w:keepLines/>
      <w:spacing w:before="40" w:after="0" w:line="360" w:lineRule="auto"/>
      <w:jc w:val="both"/>
      <w:outlineLvl w:val="2"/>
    </w:pPr>
    <w:rPr>
      <w:rFonts w:eastAsiaTheme="majorEastAsia"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68"/>
  </w:style>
  <w:style w:type="paragraph" w:styleId="Footer">
    <w:name w:val="footer"/>
    <w:basedOn w:val="Normal"/>
    <w:link w:val="FooterChar"/>
    <w:uiPriority w:val="99"/>
    <w:unhideWhenUsed/>
    <w:rsid w:val="00000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68"/>
  </w:style>
  <w:style w:type="character" w:customStyle="1" w:styleId="Heading1Char">
    <w:name w:val="Heading 1 Char"/>
    <w:basedOn w:val="DefaultParagraphFont"/>
    <w:link w:val="Heading1"/>
    <w:uiPriority w:val="9"/>
    <w:rsid w:val="007C5958"/>
    <w:rPr>
      <w:rFonts w:ascii="Calibri" w:eastAsiaTheme="majorEastAsia" w:hAnsi="Calibri" w:cstheme="majorBidi"/>
      <w:b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00056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056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000568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B17DB"/>
    <w:pPr>
      <w:tabs>
        <w:tab w:val="right" w:leader="dot" w:pos="9016"/>
      </w:tabs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000568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3170A4"/>
    <w:rPr>
      <w:rFonts w:eastAsiaTheme="majorEastAsia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5958"/>
    <w:rPr>
      <w:rFonts w:eastAsiaTheme="majorEastAsia" w:cstheme="minorHAns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35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F1E6-5BDC-41D6-9A10-50361517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1078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dc:description/>
  <cp:lastModifiedBy>André Clérigo</cp:lastModifiedBy>
  <cp:revision>6</cp:revision>
  <cp:lastPrinted>2022-03-08T18:52:00Z</cp:lastPrinted>
  <dcterms:created xsi:type="dcterms:W3CDTF">2021-12-11T21:53:00Z</dcterms:created>
  <dcterms:modified xsi:type="dcterms:W3CDTF">2022-03-15T00:04:00Z</dcterms:modified>
</cp:coreProperties>
</file>