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53117" w14:textId="49EB8B5C" w:rsidR="006B6F9E" w:rsidRDefault="006B6F9E" w:rsidP="00D44194">
      <w:pPr>
        <w:rPr>
          <w:lang w:val="en-US"/>
        </w:rPr>
      </w:pPr>
      <w:r>
        <w:rPr>
          <w:lang w:val="en-US"/>
        </w:rPr>
        <w:t xml:space="preserve">We have several questions regarding the new analysis of the LCM cuts. If you could write a short answer to each it would be very helpful to our </w:t>
      </w:r>
      <w:r w:rsidR="009E092D">
        <w:rPr>
          <w:lang w:val="en-US"/>
        </w:rPr>
        <w:t>u</w:t>
      </w:r>
      <w:r>
        <w:rPr>
          <w:lang w:val="en-US"/>
        </w:rPr>
        <w:t>nderstanding</w:t>
      </w:r>
      <w:r w:rsidR="00C13BE5">
        <w:rPr>
          <w:lang w:val="en-US"/>
        </w:rPr>
        <w:t xml:space="preserve"> (and writing!).</w:t>
      </w:r>
    </w:p>
    <w:p w14:paraId="070A7146" w14:textId="77777777" w:rsidR="003B4052" w:rsidRDefault="003B4052" w:rsidP="00D44194">
      <w:pPr>
        <w:rPr>
          <w:lang w:val="en-US"/>
        </w:rPr>
      </w:pPr>
    </w:p>
    <w:p w14:paraId="06C913F4" w14:textId="1E90A94E" w:rsidR="006B6F9E" w:rsidRDefault="006B6F9E" w:rsidP="00D44194">
      <w:pPr>
        <w:pStyle w:val="ListParagraph"/>
        <w:numPr>
          <w:ilvl w:val="0"/>
          <w:numId w:val="1"/>
        </w:numPr>
      </w:pPr>
      <w:r>
        <w:t>Can you confirm the difference between the “sensible” set of 215 SNVs and the “shared set” of 166 SNVs.</w:t>
      </w:r>
    </w:p>
    <w:p w14:paraId="31FB1140" w14:textId="39EA61E9" w:rsidR="0075161F" w:rsidRPr="0075161F" w:rsidRDefault="0075161F" w:rsidP="0075161F">
      <w:pPr>
        <w:pStyle w:val="ListParagraph"/>
      </w:pPr>
      <w:r>
        <w:rPr>
          <w:i/>
          <w:iCs/>
          <w:color w:val="4C94D8" w:themeColor="text2" w:themeTint="80"/>
        </w:rPr>
        <w:t xml:space="preserve">Both </w:t>
      </w:r>
      <w:r w:rsidR="003B4052">
        <w:rPr>
          <w:i/>
          <w:iCs/>
          <w:color w:val="4C94D8" w:themeColor="text2" w:themeTint="80"/>
        </w:rPr>
        <w:t xml:space="preserve">sets </w:t>
      </w:r>
      <w:r>
        <w:rPr>
          <w:i/>
          <w:iCs/>
          <w:color w:val="4C94D8" w:themeColor="text2" w:themeTint="80"/>
        </w:rPr>
        <w:t>are subset of the same 417 pool of “legitimate” SNVs, whose elements pass</w:t>
      </w:r>
      <w:r w:rsidR="003B4052">
        <w:rPr>
          <w:i/>
          <w:iCs/>
          <w:color w:val="4C94D8" w:themeColor="text2" w:themeTint="80"/>
        </w:rPr>
        <w:t>ed</w:t>
      </w:r>
      <w:r>
        <w:rPr>
          <w:i/>
          <w:iCs/>
          <w:color w:val="4C94D8" w:themeColor="text2" w:themeTint="80"/>
        </w:rPr>
        <w:t xml:space="preserve"> lot</w:t>
      </w:r>
      <w:r w:rsidR="003B4052">
        <w:rPr>
          <w:i/>
          <w:iCs/>
          <w:color w:val="4C94D8" w:themeColor="text2" w:themeTint="80"/>
        </w:rPr>
        <w:t>s</w:t>
      </w:r>
      <w:r>
        <w:rPr>
          <w:i/>
          <w:iCs/>
          <w:color w:val="4C94D8" w:themeColor="text2" w:themeTint="80"/>
        </w:rPr>
        <w:t xml:space="preserve"> of quality and specificity filters minimis</w:t>
      </w:r>
      <w:r w:rsidR="003B4052">
        <w:rPr>
          <w:i/>
          <w:iCs/>
          <w:color w:val="4C94D8" w:themeColor="text2" w:themeTint="80"/>
        </w:rPr>
        <w:t>ing</w:t>
      </w:r>
      <w:r>
        <w:rPr>
          <w:i/>
          <w:iCs/>
          <w:color w:val="4C94D8" w:themeColor="text2" w:themeTint="80"/>
        </w:rPr>
        <w:t xml:space="preserve"> </w:t>
      </w:r>
      <w:r w:rsidR="003B4052">
        <w:rPr>
          <w:i/>
          <w:iCs/>
          <w:color w:val="4C94D8" w:themeColor="text2" w:themeTint="80"/>
        </w:rPr>
        <w:t xml:space="preserve">technical artifacts and germline </w:t>
      </w:r>
      <w:r>
        <w:rPr>
          <w:i/>
          <w:iCs/>
          <w:color w:val="4C94D8" w:themeColor="text2" w:themeTint="80"/>
        </w:rPr>
        <w:t xml:space="preserve">contamination. </w:t>
      </w:r>
      <w:r w:rsidR="0075036C">
        <w:rPr>
          <w:i/>
          <w:iCs/>
          <w:color w:val="4C94D8" w:themeColor="text2" w:themeTint="80"/>
        </w:rPr>
        <w:t>However (</w:t>
      </w:r>
      <w:r w:rsidR="003B4052">
        <w:rPr>
          <w:i/>
          <w:iCs/>
          <w:color w:val="4C94D8" w:themeColor="text2" w:themeTint="80"/>
        </w:rPr>
        <w:t xml:space="preserve">see </w:t>
      </w:r>
      <w:r w:rsidR="0075036C">
        <w:rPr>
          <w:i/>
          <w:iCs/>
          <w:color w:val="4C94D8" w:themeColor="text2" w:themeTint="80"/>
        </w:rPr>
        <w:t>slide 20), these filters are still very lenient</w:t>
      </w:r>
      <w:r w:rsidR="003B4052">
        <w:rPr>
          <w:i/>
          <w:iCs/>
          <w:color w:val="4C94D8" w:themeColor="text2" w:themeTint="80"/>
        </w:rPr>
        <w:t xml:space="preserve">. </w:t>
      </w:r>
      <w:r w:rsidR="00155D32">
        <w:rPr>
          <w:i/>
          <w:iCs/>
          <w:color w:val="4C94D8" w:themeColor="text2" w:themeTint="80"/>
        </w:rPr>
        <w:t xml:space="preserve">Here, </w:t>
      </w:r>
      <w:r w:rsidR="003B4052">
        <w:rPr>
          <w:i/>
          <w:iCs/>
          <w:color w:val="4C94D8" w:themeColor="text2" w:themeTint="80"/>
        </w:rPr>
        <w:t xml:space="preserve">a single SNV </w:t>
      </w:r>
      <w:r w:rsidR="0075036C">
        <w:rPr>
          <w:i/>
          <w:iCs/>
          <w:color w:val="4C94D8" w:themeColor="text2" w:themeTint="80"/>
        </w:rPr>
        <w:t>could make it to the</w:t>
      </w:r>
      <w:r w:rsidR="00155D32">
        <w:rPr>
          <w:i/>
          <w:iCs/>
          <w:color w:val="4C94D8" w:themeColor="text2" w:themeTint="80"/>
        </w:rPr>
        <w:t xml:space="preserve">se </w:t>
      </w:r>
      <w:r w:rsidR="0075036C">
        <w:rPr>
          <w:i/>
          <w:iCs/>
          <w:color w:val="4C94D8" w:themeColor="text2" w:themeTint="80"/>
        </w:rPr>
        <w:t xml:space="preserve">417 </w:t>
      </w:r>
      <w:proofErr w:type="gramStart"/>
      <w:r w:rsidR="0075036C">
        <w:rPr>
          <w:i/>
          <w:iCs/>
          <w:color w:val="4C94D8" w:themeColor="text2" w:themeTint="80"/>
        </w:rPr>
        <w:t>pool</w:t>
      </w:r>
      <w:proofErr w:type="gramEnd"/>
      <w:r w:rsidR="0075036C">
        <w:rPr>
          <w:i/>
          <w:iCs/>
          <w:color w:val="4C94D8" w:themeColor="text2" w:themeTint="80"/>
        </w:rPr>
        <w:t xml:space="preserve"> </w:t>
      </w:r>
      <w:r w:rsidR="00155D32">
        <w:rPr>
          <w:i/>
          <w:iCs/>
          <w:color w:val="4C94D8" w:themeColor="text2" w:themeTint="80"/>
        </w:rPr>
        <w:t xml:space="preserve">with only </w:t>
      </w:r>
      <w:r w:rsidR="0075036C">
        <w:rPr>
          <w:i/>
          <w:iCs/>
          <w:color w:val="4C94D8" w:themeColor="text2" w:themeTint="80"/>
        </w:rPr>
        <w:t>5 reads detected across all heart LCM samples</w:t>
      </w:r>
      <w:r w:rsidR="003D0C85">
        <w:rPr>
          <w:i/>
          <w:iCs/>
          <w:color w:val="4C94D8" w:themeColor="text2" w:themeTint="80"/>
        </w:rPr>
        <w:t>, and at least 2 samples</w:t>
      </w:r>
      <w:r w:rsidR="00155D32">
        <w:rPr>
          <w:i/>
          <w:iCs/>
          <w:color w:val="4C94D8" w:themeColor="text2" w:themeTint="80"/>
        </w:rPr>
        <w:t xml:space="preserve"> with more than one read each. A</w:t>
      </w:r>
      <w:r w:rsidR="003D0C85">
        <w:rPr>
          <w:i/>
          <w:iCs/>
          <w:color w:val="4C94D8" w:themeColor="text2" w:themeTint="80"/>
        </w:rPr>
        <w:t xml:space="preserve"> variant detected with only one read in 5 independent samples would </w:t>
      </w:r>
      <w:r w:rsidR="00155D32">
        <w:rPr>
          <w:i/>
          <w:iCs/>
          <w:color w:val="4C94D8" w:themeColor="text2" w:themeTint="80"/>
        </w:rPr>
        <w:t xml:space="preserve">still </w:t>
      </w:r>
      <w:r w:rsidR="003D0C85">
        <w:rPr>
          <w:i/>
          <w:iCs/>
          <w:color w:val="4C94D8" w:themeColor="text2" w:themeTint="80"/>
        </w:rPr>
        <w:t>not be discarded at th</w:t>
      </w:r>
      <w:r w:rsidR="00155D32">
        <w:rPr>
          <w:i/>
          <w:iCs/>
          <w:color w:val="4C94D8" w:themeColor="text2" w:themeTint="80"/>
        </w:rPr>
        <w:t>is</w:t>
      </w:r>
      <w:r w:rsidR="003D0C85">
        <w:rPr>
          <w:i/>
          <w:iCs/>
          <w:color w:val="4C94D8" w:themeColor="text2" w:themeTint="80"/>
        </w:rPr>
        <w:t xml:space="preserve"> stage.</w:t>
      </w:r>
      <w:r w:rsidR="00155D32">
        <w:rPr>
          <w:i/>
          <w:iCs/>
          <w:color w:val="4C94D8" w:themeColor="text2" w:themeTint="80"/>
        </w:rPr>
        <w:t xml:space="preserve"> </w:t>
      </w:r>
    </w:p>
    <w:p w14:paraId="025962F6" w14:textId="1C9EE76F" w:rsidR="0075161F" w:rsidRDefault="0075161F" w:rsidP="003D0C85">
      <w:pPr>
        <w:pStyle w:val="ListParagraph"/>
        <w:rPr>
          <w:i/>
          <w:iCs/>
          <w:color w:val="4C94D8" w:themeColor="text2" w:themeTint="80"/>
        </w:rPr>
      </w:pPr>
      <w:r>
        <w:rPr>
          <w:i/>
          <w:iCs/>
          <w:color w:val="4C94D8" w:themeColor="text2" w:themeTint="80"/>
        </w:rPr>
        <w:t>Give</w:t>
      </w:r>
      <w:r w:rsidR="00155D32">
        <w:rPr>
          <w:i/>
          <w:iCs/>
          <w:color w:val="4C94D8" w:themeColor="text2" w:themeTint="80"/>
        </w:rPr>
        <w:t xml:space="preserve">n </w:t>
      </w:r>
      <w:r>
        <w:rPr>
          <w:i/>
          <w:iCs/>
          <w:color w:val="4C94D8" w:themeColor="text2" w:themeTint="80"/>
        </w:rPr>
        <w:t xml:space="preserve">the </w:t>
      </w:r>
      <w:r w:rsidR="003D0C85">
        <w:rPr>
          <w:i/>
          <w:iCs/>
          <w:color w:val="4C94D8" w:themeColor="text2" w:themeTint="80"/>
        </w:rPr>
        <w:t xml:space="preserve">very high </w:t>
      </w:r>
      <w:r>
        <w:rPr>
          <w:i/>
          <w:iCs/>
          <w:color w:val="4C94D8" w:themeColor="text2" w:themeTint="80"/>
        </w:rPr>
        <w:t>sparsity (</w:t>
      </w:r>
      <w:r w:rsidR="0075036C">
        <w:rPr>
          <w:i/>
          <w:iCs/>
          <w:color w:val="4C94D8" w:themeColor="text2" w:themeTint="80"/>
        </w:rPr>
        <w:t xml:space="preserve">i.e., </w:t>
      </w:r>
      <w:r>
        <w:rPr>
          <w:i/>
          <w:iCs/>
          <w:color w:val="4C94D8" w:themeColor="text2" w:themeTint="80"/>
        </w:rPr>
        <w:t>very low number of alternative reads, AD</w:t>
      </w:r>
      <w:r w:rsidR="0075036C">
        <w:rPr>
          <w:i/>
          <w:iCs/>
          <w:color w:val="4C94D8" w:themeColor="text2" w:themeTint="80"/>
        </w:rPr>
        <w:t>)</w:t>
      </w:r>
      <w:r>
        <w:rPr>
          <w:i/>
          <w:iCs/>
          <w:color w:val="4C94D8" w:themeColor="text2" w:themeTint="80"/>
        </w:rPr>
        <w:t xml:space="preserve"> </w:t>
      </w:r>
      <w:r w:rsidR="00155D32">
        <w:rPr>
          <w:i/>
          <w:iCs/>
          <w:color w:val="4C94D8" w:themeColor="text2" w:themeTint="80"/>
        </w:rPr>
        <w:t xml:space="preserve">of </w:t>
      </w:r>
      <w:r w:rsidRPr="003D0C85">
        <w:rPr>
          <w:i/>
          <w:iCs/>
          <w:color w:val="4C94D8" w:themeColor="text2" w:themeTint="80"/>
        </w:rPr>
        <w:t>single LCM sample calls (see slide 24)</w:t>
      </w:r>
      <w:r w:rsidR="00155D32">
        <w:rPr>
          <w:i/>
          <w:iCs/>
          <w:color w:val="4C94D8" w:themeColor="text2" w:themeTint="80"/>
        </w:rPr>
        <w:t>, and since</w:t>
      </w:r>
      <w:r w:rsidRPr="003D0C85">
        <w:rPr>
          <w:i/>
          <w:iCs/>
          <w:color w:val="4C94D8" w:themeColor="text2" w:themeTint="80"/>
        </w:rPr>
        <w:t xml:space="preserve"> we are </w:t>
      </w:r>
      <w:r w:rsidR="00155D32">
        <w:rPr>
          <w:i/>
          <w:iCs/>
          <w:color w:val="4C94D8" w:themeColor="text2" w:themeTint="80"/>
        </w:rPr>
        <w:t xml:space="preserve">more </w:t>
      </w:r>
      <w:r w:rsidRPr="003D0C85">
        <w:rPr>
          <w:i/>
          <w:iCs/>
          <w:color w:val="4C94D8" w:themeColor="text2" w:themeTint="80"/>
        </w:rPr>
        <w:t xml:space="preserve">interested in variants specific to </w:t>
      </w:r>
      <w:r w:rsidR="0075036C" w:rsidRPr="003D0C85">
        <w:rPr>
          <w:i/>
          <w:iCs/>
          <w:color w:val="4C94D8" w:themeColor="text2" w:themeTint="80"/>
        </w:rPr>
        <w:t>whole</w:t>
      </w:r>
      <w:r w:rsidRPr="003D0C85">
        <w:rPr>
          <w:i/>
          <w:iCs/>
          <w:color w:val="4C94D8" w:themeColor="text2" w:themeTint="80"/>
        </w:rPr>
        <w:t xml:space="preserve"> anatomical regions</w:t>
      </w:r>
      <w:r w:rsidR="003D0C85">
        <w:rPr>
          <w:i/>
          <w:iCs/>
          <w:color w:val="4C94D8" w:themeColor="text2" w:themeTint="80"/>
        </w:rPr>
        <w:t xml:space="preserve"> than</w:t>
      </w:r>
      <w:r w:rsidR="0075036C" w:rsidRPr="003D0C85">
        <w:rPr>
          <w:i/>
          <w:iCs/>
          <w:color w:val="4C94D8" w:themeColor="text2" w:themeTint="80"/>
        </w:rPr>
        <w:t xml:space="preserve"> single samples,</w:t>
      </w:r>
      <w:r w:rsidRPr="003D0C85">
        <w:rPr>
          <w:i/>
          <w:iCs/>
          <w:color w:val="4C94D8" w:themeColor="text2" w:themeTint="80"/>
        </w:rPr>
        <w:t xml:space="preserve"> I have </w:t>
      </w:r>
      <w:r w:rsidR="00155D32">
        <w:rPr>
          <w:i/>
          <w:iCs/>
          <w:color w:val="4C94D8" w:themeColor="text2" w:themeTint="80"/>
        </w:rPr>
        <w:t xml:space="preserve">further </w:t>
      </w:r>
      <w:r w:rsidR="0075036C" w:rsidRPr="003D0C85">
        <w:rPr>
          <w:i/>
          <w:iCs/>
          <w:color w:val="4C94D8" w:themeColor="text2" w:themeTint="80"/>
        </w:rPr>
        <w:t>subset</w:t>
      </w:r>
      <w:r w:rsidR="003D0C85">
        <w:rPr>
          <w:i/>
          <w:iCs/>
          <w:color w:val="4C94D8" w:themeColor="text2" w:themeTint="80"/>
        </w:rPr>
        <w:t xml:space="preserve"> </w:t>
      </w:r>
      <w:r w:rsidR="0075036C" w:rsidRPr="003D0C85">
        <w:rPr>
          <w:i/>
          <w:iCs/>
          <w:color w:val="4C94D8" w:themeColor="text2" w:themeTint="80"/>
        </w:rPr>
        <w:t>the</w:t>
      </w:r>
      <w:r w:rsidR="003D0C85">
        <w:rPr>
          <w:i/>
          <w:iCs/>
          <w:color w:val="4C94D8" w:themeColor="text2" w:themeTint="80"/>
        </w:rPr>
        <w:t>se</w:t>
      </w:r>
      <w:r w:rsidR="0075036C" w:rsidRPr="003D0C85">
        <w:rPr>
          <w:i/>
          <w:iCs/>
          <w:color w:val="4C94D8" w:themeColor="text2" w:themeTint="80"/>
        </w:rPr>
        <w:t xml:space="preserve"> 417 SNV</w:t>
      </w:r>
      <w:r w:rsidR="003D0C85">
        <w:rPr>
          <w:i/>
          <w:iCs/>
          <w:color w:val="4C94D8" w:themeColor="text2" w:themeTint="80"/>
        </w:rPr>
        <w:t>s</w:t>
      </w:r>
      <w:r w:rsidR="0075036C" w:rsidRPr="003D0C85">
        <w:rPr>
          <w:i/>
          <w:iCs/>
          <w:color w:val="4C94D8" w:themeColor="text2" w:themeTint="80"/>
        </w:rPr>
        <w:t xml:space="preserve"> in </w:t>
      </w:r>
      <w:r w:rsidRPr="003D0C85">
        <w:rPr>
          <w:i/>
          <w:iCs/>
          <w:color w:val="4C94D8" w:themeColor="text2" w:themeTint="80"/>
        </w:rPr>
        <w:t xml:space="preserve">two </w:t>
      </w:r>
      <w:r w:rsidR="0075036C" w:rsidRPr="003D0C85">
        <w:rPr>
          <w:i/>
          <w:iCs/>
          <w:color w:val="4C94D8" w:themeColor="text2" w:themeTint="80"/>
        </w:rPr>
        <w:t xml:space="preserve">additional </w:t>
      </w:r>
      <w:r w:rsidRPr="003D0C85">
        <w:rPr>
          <w:i/>
          <w:iCs/>
          <w:color w:val="4C94D8" w:themeColor="text2" w:themeTint="80"/>
        </w:rPr>
        <w:t xml:space="preserve">subsets </w:t>
      </w:r>
      <w:r w:rsidR="0075036C" w:rsidRPr="003D0C85">
        <w:rPr>
          <w:i/>
          <w:iCs/>
          <w:color w:val="4C94D8" w:themeColor="text2" w:themeTint="80"/>
        </w:rPr>
        <w:t xml:space="preserve">(i.e., </w:t>
      </w:r>
      <w:r w:rsidR="003D0C85">
        <w:rPr>
          <w:i/>
          <w:iCs/>
          <w:color w:val="4C94D8" w:themeColor="text2" w:themeTint="80"/>
        </w:rPr>
        <w:t xml:space="preserve">the </w:t>
      </w:r>
      <w:r w:rsidR="0075036C" w:rsidRPr="003D0C85">
        <w:rPr>
          <w:i/>
          <w:iCs/>
          <w:color w:val="4C94D8" w:themeColor="text2" w:themeTint="80"/>
        </w:rPr>
        <w:t>“sensible” and “shared”</w:t>
      </w:r>
      <w:r w:rsidR="00155D32">
        <w:rPr>
          <w:i/>
          <w:iCs/>
          <w:color w:val="4C94D8" w:themeColor="text2" w:themeTint="80"/>
        </w:rPr>
        <w:t xml:space="preserve"> sets</w:t>
      </w:r>
      <w:r w:rsidR="003D0C85">
        <w:rPr>
          <w:i/>
          <w:iCs/>
          <w:color w:val="4C94D8" w:themeColor="text2" w:themeTint="80"/>
        </w:rPr>
        <w:t xml:space="preserve"> in </w:t>
      </w:r>
      <w:r w:rsidR="0075036C" w:rsidRPr="003D0C85">
        <w:rPr>
          <w:i/>
          <w:iCs/>
          <w:color w:val="4C94D8" w:themeColor="text2" w:themeTint="80"/>
        </w:rPr>
        <w:t>slide 26). All variants making it to th</w:t>
      </w:r>
      <w:r w:rsidR="003D0C85">
        <w:rPr>
          <w:i/>
          <w:iCs/>
          <w:color w:val="4C94D8" w:themeColor="text2" w:themeTint="80"/>
        </w:rPr>
        <w:t xml:space="preserve">e </w:t>
      </w:r>
      <w:r w:rsidR="0075036C" w:rsidRPr="003D0C85">
        <w:rPr>
          <w:i/>
          <w:iCs/>
          <w:color w:val="4C94D8" w:themeColor="text2" w:themeTint="80"/>
        </w:rPr>
        <w:t>“sensible” set must</w:t>
      </w:r>
      <w:r w:rsidR="00155D32">
        <w:rPr>
          <w:i/>
          <w:iCs/>
          <w:color w:val="4C94D8" w:themeColor="text2" w:themeTint="80"/>
        </w:rPr>
        <w:t xml:space="preserve"> satisfy the requirements </w:t>
      </w:r>
      <w:proofErr w:type="gramStart"/>
      <w:r w:rsidR="00155D32">
        <w:rPr>
          <w:i/>
          <w:iCs/>
          <w:color w:val="4C94D8" w:themeColor="text2" w:themeTint="80"/>
        </w:rPr>
        <w:t>above, but</w:t>
      </w:r>
      <w:proofErr w:type="gramEnd"/>
      <w:r w:rsidR="00155D32">
        <w:rPr>
          <w:i/>
          <w:iCs/>
          <w:color w:val="4C94D8" w:themeColor="text2" w:themeTint="80"/>
        </w:rPr>
        <w:t xml:space="preserve"> also</w:t>
      </w:r>
      <w:r w:rsidR="0075036C" w:rsidRPr="003D0C85">
        <w:rPr>
          <w:i/>
          <w:iCs/>
          <w:color w:val="4C94D8" w:themeColor="text2" w:themeTint="80"/>
        </w:rPr>
        <w:t xml:space="preserve"> be detected with at least </w:t>
      </w:r>
      <w:r w:rsidR="0075036C" w:rsidRPr="003D0C85">
        <w:rPr>
          <w:i/>
          <w:iCs/>
          <w:color w:val="4C94D8" w:themeColor="text2" w:themeTint="80"/>
        </w:rPr>
        <w:t>3 reads</w:t>
      </w:r>
      <w:r w:rsidR="0075036C" w:rsidRPr="003D0C85">
        <w:rPr>
          <w:i/>
          <w:iCs/>
          <w:color w:val="4C94D8" w:themeColor="text2" w:themeTint="80"/>
        </w:rPr>
        <w:t xml:space="preserve"> in at least one sample. This criterion favours “sensibility”: </w:t>
      </w:r>
      <w:r w:rsidR="003D0C85">
        <w:rPr>
          <w:i/>
          <w:iCs/>
          <w:color w:val="4C94D8" w:themeColor="text2" w:themeTint="80"/>
        </w:rPr>
        <w:t xml:space="preserve">we are implicitly saying that </w:t>
      </w:r>
      <w:r w:rsidR="0075036C" w:rsidRPr="003D0C85">
        <w:rPr>
          <w:i/>
          <w:iCs/>
          <w:color w:val="4C94D8" w:themeColor="text2" w:themeTint="80"/>
        </w:rPr>
        <w:t>having 3 reads</w:t>
      </w:r>
      <w:r w:rsidR="003D0C85">
        <w:rPr>
          <w:i/>
          <w:iCs/>
          <w:color w:val="4C94D8" w:themeColor="text2" w:themeTint="80"/>
        </w:rPr>
        <w:t xml:space="preserve"> </w:t>
      </w:r>
      <w:r w:rsidR="0075036C" w:rsidRPr="003D0C85">
        <w:rPr>
          <w:i/>
          <w:iCs/>
          <w:color w:val="4C94D8" w:themeColor="text2" w:themeTint="80"/>
        </w:rPr>
        <w:t xml:space="preserve">detected </w:t>
      </w:r>
      <w:r w:rsidR="003D0C85">
        <w:rPr>
          <w:i/>
          <w:iCs/>
          <w:color w:val="4C94D8" w:themeColor="text2" w:themeTint="80"/>
        </w:rPr>
        <w:t>on</w:t>
      </w:r>
      <w:r w:rsidR="0075036C" w:rsidRPr="003D0C85">
        <w:rPr>
          <w:i/>
          <w:iCs/>
          <w:color w:val="4C94D8" w:themeColor="text2" w:themeTint="80"/>
        </w:rPr>
        <w:t xml:space="preserve"> the same LCM spot</w:t>
      </w:r>
      <w:r w:rsidR="003D0C85">
        <w:rPr>
          <w:i/>
          <w:iCs/>
          <w:color w:val="4C94D8" w:themeColor="text2" w:themeTint="80"/>
        </w:rPr>
        <w:t xml:space="preserve"> (and not just scattered around</w:t>
      </w:r>
      <w:r w:rsidR="00155D32">
        <w:rPr>
          <w:i/>
          <w:iCs/>
          <w:color w:val="4C94D8" w:themeColor="text2" w:themeTint="80"/>
        </w:rPr>
        <w:t xml:space="preserve"> many</w:t>
      </w:r>
      <w:r w:rsidR="003D0C85">
        <w:rPr>
          <w:i/>
          <w:iCs/>
          <w:color w:val="4C94D8" w:themeColor="text2" w:themeTint="80"/>
        </w:rPr>
        <w:t>) is</w:t>
      </w:r>
      <w:r w:rsidR="0075036C" w:rsidRPr="003D0C85">
        <w:rPr>
          <w:i/>
          <w:iCs/>
          <w:color w:val="4C94D8" w:themeColor="text2" w:themeTint="80"/>
        </w:rPr>
        <w:t xml:space="preserve"> the bare minimum to trust </w:t>
      </w:r>
      <w:r w:rsidR="00155D32">
        <w:rPr>
          <w:i/>
          <w:iCs/>
          <w:color w:val="4C94D8" w:themeColor="text2" w:themeTint="80"/>
        </w:rPr>
        <w:t>a very</w:t>
      </w:r>
      <w:r w:rsidR="0075036C" w:rsidRPr="003D0C85">
        <w:rPr>
          <w:i/>
          <w:iCs/>
          <w:color w:val="4C94D8" w:themeColor="text2" w:themeTint="80"/>
        </w:rPr>
        <w:t xml:space="preserve"> rare variant</w:t>
      </w:r>
      <w:r w:rsidR="00DA500A">
        <w:rPr>
          <w:i/>
          <w:iCs/>
          <w:color w:val="4C94D8" w:themeColor="text2" w:themeTint="80"/>
        </w:rPr>
        <w:t xml:space="preserve"> (e.g., detected in </w:t>
      </w:r>
      <w:r w:rsidR="00155D32">
        <w:rPr>
          <w:i/>
          <w:iCs/>
          <w:color w:val="4C94D8" w:themeColor="text2" w:themeTint="80"/>
        </w:rPr>
        <w:t xml:space="preserve">only </w:t>
      </w:r>
      <w:r w:rsidR="00DA500A">
        <w:rPr>
          <w:i/>
          <w:iCs/>
          <w:color w:val="4C94D8" w:themeColor="text2" w:themeTint="80"/>
        </w:rPr>
        <w:t>2 only)</w:t>
      </w:r>
      <w:r w:rsidR="0075036C" w:rsidRPr="003D0C85">
        <w:rPr>
          <w:i/>
          <w:iCs/>
          <w:color w:val="4C94D8" w:themeColor="text2" w:themeTint="80"/>
        </w:rPr>
        <w:t xml:space="preserve">. </w:t>
      </w:r>
      <w:r w:rsidR="003D0C85">
        <w:rPr>
          <w:i/>
          <w:iCs/>
          <w:color w:val="4C94D8" w:themeColor="text2" w:themeTint="80"/>
        </w:rPr>
        <w:t xml:space="preserve">On the other hands, variants making it to the “shared” set must be also detected with at least 5 reads </w:t>
      </w:r>
      <w:r w:rsidR="00805C18">
        <w:rPr>
          <w:i/>
          <w:iCs/>
          <w:color w:val="4C94D8" w:themeColor="text2" w:themeTint="80"/>
        </w:rPr>
        <w:t>in two different</w:t>
      </w:r>
      <w:r w:rsidR="003D0C85">
        <w:rPr>
          <w:i/>
          <w:iCs/>
          <w:color w:val="4C94D8" w:themeColor="text2" w:themeTint="80"/>
        </w:rPr>
        <w:t xml:space="preserve"> LCM sample chunk</w:t>
      </w:r>
      <w:r w:rsidR="00805C18">
        <w:rPr>
          <w:i/>
          <w:iCs/>
          <w:color w:val="4C94D8" w:themeColor="text2" w:themeTint="80"/>
        </w:rPr>
        <w:t>s</w:t>
      </w:r>
      <w:r w:rsidR="003D0C85">
        <w:rPr>
          <w:i/>
          <w:iCs/>
          <w:color w:val="4C94D8" w:themeColor="text2" w:themeTint="80"/>
        </w:rPr>
        <w:t xml:space="preserve"> (see below</w:t>
      </w:r>
      <w:r w:rsidR="00155D32">
        <w:rPr>
          <w:i/>
          <w:iCs/>
          <w:color w:val="4C94D8" w:themeColor="text2" w:themeTint="80"/>
        </w:rPr>
        <w:t xml:space="preserve"> question for definition</w:t>
      </w:r>
      <w:r w:rsidR="003D0C85">
        <w:rPr>
          <w:i/>
          <w:iCs/>
          <w:color w:val="4C94D8" w:themeColor="text2" w:themeTint="80"/>
        </w:rPr>
        <w:t>)</w:t>
      </w:r>
      <w:r w:rsidR="00805C18">
        <w:rPr>
          <w:i/>
          <w:iCs/>
          <w:color w:val="4C94D8" w:themeColor="text2" w:themeTint="80"/>
        </w:rPr>
        <w:t xml:space="preserve">. This criterion favours “sharedness”: we are relaxing the need to have </w:t>
      </w:r>
      <w:r w:rsidR="00DA500A">
        <w:rPr>
          <w:i/>
          <w:iCs/>
          <w:color w:val="4C94D8" w:themeColor="text2" w:themeTint="80"/>
        </w:rPr>
        <w:t xml:space="preserve">at least </w:t>
      </w:r>
      <w:r w:rsidR="00805C18">
        <w:rPr>
          <w:i/>
          <w:iCs/>
          <w:color w:val="4C94D8" w:themeColor="text2" w:themeTint="80"/>
        </w:rPr>
        <w:t xml:space="preserve">3 reads concentrated on the same LCM spot (now is 5 reads on a chunk of 4-5 proximal LCM spots), but we are requiring two chunks like these to be present. </w:t>
      </w:r>
    </w:p>
    <w:p w14:paraId="10831F3B" w14:textId="441DFF28" w:rsidR="00805C18" w:rsidRPr="00805C18" w:rsidRDefault="00DA500A" w:rsidP="00805C18">
      <w:pPr>
        <w:pStyle w:val="ListParagraph"/>
        <w:rPr>
          <w:i/>
          <w:iCs/>
          <w:color w:val="4C94D8" w:themeColor="text2" w:themeTint="80"/>
        </w:rPr>
      </w:pPr>
      <w:r>
        <w:rPr>
          <w:i/>
          <w:iCs/>
          <w:color w:val="4C94D8" w:themeColor="text2" w:themeTint="80"/>
        </w:rPr>
        <w:t>Of course, all</w:t>
      </w:r>
      <w:r w:rsidR="00805C18">
        <w:rPr>
          <w:i/>
          <w:iCs/>
          <w:color w:val="4C94D8" w:themeColor="text2" w:themeTint="80"/>
        </w:rPr>
        <w:t xml:space="preserve"> these </w:t>
      </w:r>
      <w:r>
        <w:rPr>
          <w:i/>
          <w:iCs/>
          <w:color w:val="4C94D8" w:themeColor="text2" w:themeTint="80"/>
        </w:rPr>
        <w:t xml:space="preserve">definitions </w:t>
      </w:r>
      <w:r w:rsidR="00805C18">
        <w:rPr>
          <w:i/>
          <w:iCs/>
          <w:color w:val="4C94D8" w:themeColor="text2" w:themeTint="80"/>
        </w:rPr>
        <w:t>are very arbitrary</w:t>
      </w:r>
      <w:r>
        <w:rPr>
          <w:i/>
          <w:iCs/>
          <w:color w:val="4C94D8" w:themeColor="text2" w:themeTint="80"/>
        </w:rPr>
        <w:t xml:space="preserve"> and</w:t>
      </w:r>
      <w:r w:rsidR="00805C18">
        <w:rPr>
          <w:i/>
          <w:iCs/>
          <w:color w:val="4C94D8" w:themeColor="text2" w:themeTint="80"/>
        </w:rPr>
        <w:t xml:space="preserve"> ad hoc. Ultimately, </w:t>
      </w:r>
      <w:r>
        <w:rPr>
          <w:i/>
          <w:iCs/>
          <w:color w:val="4C94D8" w:themeColor="text2" w:themeTint="80"/>
        </w:rPr>
        <w:t xml:space="preserve">this task resembles </w:t>
      </w:r>
      <w:r w:rsidR="00805C18">
        <w:rPr>
          <w:i/>
          <w:iCs/>
          <w:color w:val="4C94D8" w:themeColor="text2" w:themeTint="80"/>
        </w:rPr>
        <w:t>turning the knob of a microscope zoom. I have presented the data like these for completeness, but after doing th</w:t>
      </w:r>
      <w:r>
        <w:rPr>
          <w:i/>
          <w:iCs/>
          <w:color w:val="4C94D8" w:themeColor="text2" w:themeTint="80"/>
        </w:rPr>
        <w:t>is</w:t>
      </w:r>
      <w:r w:rsidR="00805C18">
        <w:rPr>
          <w:i/>
          <w:iCs/>
          <w:color w:val="4C94D8" w:themeColor="text2" w:themeTint="80"/>
        </w:rPr>
        <w:t xml:space="preserve"> analysis I think that </w:t>
      </w:r>
      <w:r>
        <w:rPr>
          <w:i/>
          <w:iCs/>
          <w:color w:val="4C94D8" w:themeColor="text2" w:themeTint="80"/>
        </w:rPr>
        <w:t>the</w:t>
      </w:r>
      <w:r w:rsidR="00155D32">
        <w:rPr>
          <w:i/>
          <w:iCs/>
          <w:color w:val="4C94D8" w:themeColor="text2" w:themeTint="80"/>
        </w:rPr>
        <w:t xml:space="preserve"> </w:t>
      </w:r>
      <w:r>
        <w:rPr>
          <w:i/>
          <w:iCs/>
          <w:color w:val="4C94D8" w:themeColor="text2" w:themeTint="80"/>
        </w:rPr>
        <w:t>“sensible”/”shared” set</w:t>
      </w:r>
      <w:r w:rsidR="00805C18">
        <w:rPr>
          <w:i/>
          <w:iCs/>
          <w:color w:val="4C94D8" w:themeColor="text2" w:themeTint="80"/>
        </w:rPr>
        <w:t xml:space="preserve"> distinction </w:t>
      </w:r>
      <w:r>
        <w:rPr>
          <w:i/>
          <w:iCs/>
          <w:color w:val="4C94D8" w:themeColor="text2" w:themeTint="80"/>
        </w:rPr>
        <w:t xml:space="preserve">only </w:t>
      </w:r>
      <w:r w:rsidR="00805C18">
        <w:rPr>
          <w:i/>
          <w:iCs/>
          <w:color w:val="4C94D8" w:themeColor="text2" w:themeTint="80"/>
        </w:rPr>
        <w:t>complicates things</w:t>
      </w:r>
      <w:r w:rsidR="00155D32">
        <w:rPr>
          <w:i/>
          <w:iCs/>
          <w:color w:val="4C94D8" w:themeColor="text2" w:themeTint="80"/>
        </w:rPr>
        <w:t xml:space="preserve">, </w:t>
      </w:r>
      <w:r>
        <w:rPr>
          <w:i/>
          <w:iCs/>
          <w:color w:val="4C94D8" w:themeColor="text2" w:themeTint="80"/>
        </w:rPr>
        <w:t>unnecessarily</w:t>
      </w:r>
      <w:r w:rsidR="00805C18">
        <w:rPr>
          <w:i/>
          <w:iCs/>
          <w:color w:val="4C94D8" w:themeColor="text2" w:themeTint="80"/>
        </w:rPr>
        <w:t xml:space="preserve">. All conclusions </w:t>
      </w:r>
      <w:r>
        <w:rPr>
          <w:i/>
          <w:iCs/>
          <w:color w:val="4C94D8" w:themeColor="text2" w:themeTint="80"/>
        </w:rPr>
        <w:t>still hold</w:t>
      </w:r>
      <w:r w:rsidR="00805C18">
        <w:rPr>
          <w:i/>
          <w:iCs/>
          <w:color w:val="4C94D8" w:themeColor="text2" w:themeTint="80"/>
        </w:rPr>
        <w:t xml:space="preserve"> </w:t>
      </w:r>
      <w:r>
        <w:rPr>
          <w:i/>
          <w:iCs/>
          <w:color w:val="4C94D8" w:themeColor="text2" w:themeTint="80"/>
        </w:rPr>
        <w:t xml:space="preserve">if one wants to report </w:t>
      </w:r>
      <w:r>
        <w:rPr>
          <w:i/>
          <w:iCs/>
          <w:color w:val="4C94D8" w:themeColor="text2" w:themeTint="80"/>
        </w:rPr>
        <w:t>only</w:t>
      </w:r>
      <w:r>
        <w:rPr>
          <w:i/>
          <w:iCs/>
          <w:color w:val="4C94D8" w:themeColor="text2" w:themeTint="80"/>
        </w:rPr>
        <w:t xml:space="preserve"> the </w:t>
      </w:r>
      <w:r w:rsidR="00805C18">
        <w:rPr>
          <w:i/>
          <w:iCs/>
          <w:color w:val="4C94D8" w:themeColor="text2" w:themeTint="80"/>
        </w:rPr>
        <w:t>sensible set.</w:t>
      </w:r>
      <w:r w:rsidR="00805C18" w:rsidRPr="00805C18">
        <w:rPr>
          <w:i/>
          <w:iCs/>
          <w:color w:val="4C94D8" w:themeColor="text2" w:themeTint="80"/>
        </w:rPr>
        <w:t xml:space="preserve"> </w:t>
      </w:r>
      <w:r w:rsidR="00805C18">
        <w:rPr>
          <w:i/>
          <w:iCs/>
          <w:color w:val="4C94D8" w:themeColor="text2" w:themeTint="80"/>
        </w:rPr>
        <w:t>Having the shared set can be useful (maybe</w:t>
      </w:r>
      <w:r>
        <w:rPr>
          <w:i/>
          <w:iCs/>
          <w:color w:val="4C94D8" w:themeColor="text2" w:themeTint="80"/>
        </w:rPr>
        <w:t>…</w:t>
      </w:r>
      <w:r w:rsidR="00805C18">
        <w:rPr>
          <w:i/>
          <w:iCs/>
          <w:color w:val="4C94D8" w:themeColor="text2" w:themeTint="80"/>
        </w:rPr>
        <w:t xml:space="preserve">) for slide 38, to see how much intersection and differences </w:t>
      </w:r>
      <w:r>
        <w:rPr>
          <w:i/>
          <w:iCs/>
          <w:color w:val="4C94D8" w:themeColor="text2" w:themeTint="80"/>
        </w:rPr>
        <w:t>among</w:t>
      </w:r>
      <w:r w:rsidR="00805C18">
        <w:rPr>
          <w:i/>
          <w:iCs/>
          <w:color w:val="4C94D8" w:themeColor="text2" w:themeTint="80"/>
        </w:rPr>
        <w:t xml:space="preserve"> regional SNV</w:t>
      </w:r>
      <w:r>
        <w:rPr>
          <w:i/>
          <w:iCs/>
          <w:color w:val="4C94D8" w:themeColor="text2" w:themeTint="80"/>
        </w:rPr>
        <w:t xml:space="preserve"> sets</w:t>
      </w:r>
      <w:r w:rsidR="00805C18">
        <w:rPr>
          <w:i/>
          <w:iCs/>
          <w:color w:val="4C94D8" w:themeColor="text2" w:themeTint="80"/>
        </w:rPr>
        <w:t xml:space="preserve"> </w:t>
      </w:r>
      <w:r>
        <w:rPr>
          <w:i/>
          <w:iCs/>
          <w:color w:val="4C94D8" w:themeColor="text2" w:themeTint="80"/>
        </w:rPr>
        <w:t xml:space="preserve">are </w:t>
      </w:r>
      <w:r w:rsidR="00805C18">
        <w:rPr>
          <w:i/>
          <w:iCs/>
          <w:color w:val="4C94D8" w:themeColor="text2" w:themeTint="80"/>
        </w:rPr>
        <w:t>driven by</w:t>
      </w:r>
      <w:r>
        <w:rPr>
          <w:i/>
          <w:iCs/>
          <w:color w:val="4C94D8" w:themeColor="text2" w:themeTint="80"/>
        </w:rPr>
        <w:t xml:space="preserve"> extremely rare mutations, or by shared ones. Apart from that, I would suggest that we get rid of </w:t>
      </w:r>
      <w:proofErr w:type="gramStart"/>
      <w:r>
        <w:rPr>
          <w:i/>
          <w:iCs/>
          <w:color w:val="4C94D8" w:themeColor="text2" w:themeTint="80"/>
        </w:rPr>
        <w:t>it</w:t>
      </w:r>
      <w:r w:rsidR="00155D32">
        <w:rPr>
          <w:i/>
          <w:iCs/>
          <w:color w:val="4C94D8" w:themeColor="text2" w:themeTint="80"/>
        </w:rPr>
        <w:t>, and</w:t>
      </w:r>
      <w:proofErr w:type="gramEnd"/>
      <w:r w:rsidR="00155D32">
        <w:rPr>
          <w:i/>
          <w:iCs/>
          <w:color w:val="4C94D8" w:themeColor="text2" w:themeTint="80"/>
        </w:rPr>
        <w:t xml:space="preserve"> proceed with the most straightforward “sensible” set, calling it “final” </w:t>
      </w:r>
      <w:r w:rsidR="00155D32">
        <w:rPr>
          <w:i/>
          <w:iCs/>
          <w:color w:val="4C94D8" w:themeColor="text2" w:themeTint="80"/>
        </w:rPr>
        <w:t>directly</w:t>
      </w:r>
      <w:r w:rsidR="00155D32">
        <w:rPr>
          <w:i/>
          <w:iCs/>
          <w:color w:val="4C94D8" w:themeColor="text2" w:themeTint="80"/>
        </w:rPr>
        <w:t>.</w:t>
      </w:r>
    </w:p>
    <w:p w14:paraId="6CDDFBA3" w14:textId="77777777" w:rsidR="005702F4" w:rsidRDefault="005702F4" w:rsidP="005702F4">
      <w:pPr>
        <w:pStyle w:val="ListParagraph"/>
      </w:pPr>
    </w:p>
    <w:p w14:paraId="257FBD96" w14:textId="5CBA9A75" w:rsidR="005702F4" w:rsidRDefault="006B6F9E" w:rsidP="005702F4">
      <w:pPr>
        <w:pStyle w:val="ListParagraph"/>
        <w:numPr>
          <w:ilvl w:val="0"/>
          <w:numId w:val="1"/>
        </w:numPr>
      </w:pPr>
      <w:r>
        <w:t>Can you briefly outline how you identified “chunks”</w:t>
      </w:r>
      <w:r w:rsidR="00510CC0">
        <w:t xml:space="preserve"> and how you have used t</w:t>
      </w:r>
      <w:r w:rsidR="005702F4">
        <w:t>hem in the subsequent analysis.</w:t>
      </w:r>
    </w:p>
    <w:p w14:paraId="046A700D" w14:textId="7D6CD779" w:rsidR="005702F4" w:rsidRPr="003B4052" w:rsidRDefault="00DA500A" w:rsidP="003B4052">
      <w:pPr>
        <w:pStyle w:val="ListParagraph"/>
        <w:rPr>
          <w:i/>
          <w:iCs/>
          <w:color w:val="4C94D8" w:themeColor="text2" w:themeTint="80"/>
        </w:rPr>
      </w:pPr>
      <w:r>
        <w:rPr>
          <w:i/>
          <w:iCs/>
          <w:color w:val="4C94D8" w:themeColor="text2" w:themeTint="80"/>
        </w:rPr>
        <w:lastRenderedPageBreak/>
        <w:t xml:space="preserve">LCM was performed sampling neighbouring tissue slices. If </w:t>
      </w:r>
      <w:r w:rsidR="00BF661B">
        <w:rPr>
          <w:i/>
          <w:iCs/>
          <w:color w:val="4C94D8" w:themeColor="text2" w:themeTint="80"/>
        </w:rPr>
        <w:t>one looks at the pairwise distances (in physical 3D space) of LCM samples taken from the same region (e.g.</w:t>
      </w:r>
      <w:proofErr w:type="gramStart"/>
      <w:r w:rsidR="00BF661B">
        <w:rPr>
          <w:i/>
          <w:iCs/>
          <w:color w:val="4C94D8" w:themeColor="text2" w:themeTint="80"/>
        </w:rPr>
        <w:t>,  left</w:t>
      </w:r>
      <w:proofErr w:type="gramEnd"/>
      <w:r w:rsidR="00BF661B">
        <w:rPr>
          <w:i/>
          <w:iCs/>
          <w:color w:val="4C94D8" w:themeColor="text2" w:themeTint="80"/>
        </w:rPr>
        <w:t xml:space="preserve"> ventricle</w:t>
      </w:r>
      <w:r w:rsidR="00155D32">
        <w:rPr>
          <w:i/>
          <w:iCs/>
          <w:color w:val="4C94D8" w:themeColor="text2" w:themeTint="80"/>
        </w:rPr>
        <w:t>,</w:t>
      </w:r>
      <w:r w:rsidR="00BF661B">
        <w:rPr>
          <w:i/>
          <w:iCs/>
          <w:color w:val="4C94D8" w:themeColor="text2" w:themeTint="80"/>
        </w:rPr>
        <w:t xml:space="preserve"> in slide 4), one can see that LCM samples cluster into groups of 4-5 (</w:t>
      </w:r>
      <w:proofErr w:type="spellStart"/>
      <w:r w:rsidR="00BF661B">
        <w:rPr>
          <w:i/>
          <w:iCs/>
          <w:color w:val="4C94D8" w:themeColor="text2" w:themeTint="80"/>
        </w:rPr>
        <w:t>ish</w:t>
      </w:r>
      <w:proofErr w:type="spellEnd"/>
      <w:r w:rsidR="003B4052">
        <w:rPr>
          <w:i/>
          <w:iCs/>
          <w:color w:val="4C94D8" w:themeColor="text2" w:themeTint="80"/>
        </w:rPr>
        <w:t xml:space="preserve">). </w:t>
      </w:r>
      <w:r w:rsidR="00BF661B">
        <w:rPr>
          <w:i/>
          <w:iCs/>
          <w:color w:val="4C94D8" w:themeColor="text2" w:themeTint="80"/>
        </w:rPr>
        <w:t xml:space="preserve">In principle, pooling sequencing reads within these groups give us more power to detect very rare variants in </w:t>
      </w:r>
      <w:r w:rsidR="00155D32">
        <w:rPr>
          <w:i/>
          <w:iCs/>
          <w:color w:val="4C94D8" w:themeColor="text2" w:themeTint="80"/>
        </w:rPr>
        <w:t>a</w:t>
      </w:r>
      <w:r w:rsidR="00BF661B">
        <w:rPr>
          <w:i/>
          <w:iCs/>
          <w:color w:val="4C94D8" w:themeColor="text2" w:themeTint="80"/>
        </w:rPr>
        <w:t xml:space="preserve"> polyclonal tissue</w:t>
      </w:r>
      <w:r w:rsidR="00155D32">
        <w:rPr>
          <w:i/>
          <w:iCs/>
          <w:color w:val="4C94D8" w:themeColor="text2" w:themeTint="80"/>
        </w:rPr>
        <w:t xml:space="preserve"> like this</w:t>
      </w:r>
      <w:r w:rsidR="00BF661B">
        <w:rPr>
          <w:i/>
          <w:iCs/>
          <w:color w:val="4C94D8" w:themeColor="text2" w:themeTint="80"/>
        </w:rPr>
        <w:t xml:space="preserve">, </w:t>
      </w:r>
      <w:proofErr w:type="gramStart"/>
      <w:r w:rsidR="00BF661B">
        <w:rPr>
          <w:i/>
          <w:iCs/>
          <w:color w:val="4C94D8" w:themeColor="text2" w:themeTint="80"/>
        </w:rPr>
        <w:t>assuming that</w:t>
      </w:r>
      <w:proofErr w:type="gramEnd"/>
      <w:r w:rsidR="00BF661B">
        <w:rPr>
          <w:i/>
          <w:iCs/>
          <w:color w:val="4C94D8" w:themeColor="text2" w:themeTint="80"/>
        </w:rPr>
        <w:t xml:space="preserve"> proximal samples </w:t>
      </w:r>
      <w:r w:rsidR="00155D32">
        <w:rPr>
          <w:i/>
          <w:iCs/>
          <w:color w:val="4C94D8" w:themeColor="text2" w:themeTint="80"/>
        </w:rPr>
        <w:t>share</w:t>
      </w:r>
      <w:r w:rsidR="00BF661B">
        <w:rPr>
          <w:i/>
          <w:iCs/>
          <w:color w:val="4C94D8" w:themeColor="text2" w:themeTint="80"/>
        </w:rPr>
        <w:t xml:space="preserve"> similar clonal composition</w:t>
      </w:r>
      <w:r w:rsidR="00155D32">
        <w:rPr>
          <w:i/>
          <w:iCs/>
          <w:color w:val="4C94D8" w:themeColor="text2" w:themeTint="80"/>
        </w:rPr>
        <w:t>s</w:t>
      </w:r>
      <w:r w:rsidR="00BF661B">
        <w:rPr>
          <w:i/>
          <w:iCs/>
          <w:color w:val="4C94D8" w:themeColor="text2" w:themeTint="80"/>
        </w:rPr>
        <w:t xml:space="preserve">. </w:t>
      </w:r>
      <w:r w:rsidR="00155D32">
        <w:rPr>
          <w:i/>
          <w:iCs/>
          <w:color w:val="4C94D8" w:themeColor="text2" w:themeTint="80"/>
        </w:rPr>
        <w:t>Therefore</w:t>
      </w:r>
      <w:r w:rsidR="00BF661B">
        <w:rPr>
          <w:i/>
          <w:iCs/>
          <w:color w:val="4C94D8" w:themeColor="text2" w:themeTint="80"/>
        </w:rPr>
        <w:t xml:space="preserve">, we </w:t>
      </w:r>
      <w:r w:rsidR="00155D32">
        <w:rPr>
          <w:i/>
          <w:iCs/>
          <w:color w:val="4C94D8" w:themeColor="text2" w:themeTint="80"/>
        </w:rPr>
        <w:t>followed</w:t>
      </w:r>
      <w:r w:rsidR="00BF661B">
        <w:rPr>
          <w:i/>
          <w:iCs/>
          <w:color w:val="4C94D8" w:themeColor="text2" w:themeTint="80"/>
        </w:rPr>
        <w:t xml:space="preserve"> this reasoning to</w:t>
      </w:r>
      <w:r w:rsidR="00155D32">
        <w:rPr>
          <w:i/>
          <w:iCs/>
          <w:color w:val="4C94D8" w:themeColor="text2" w:themeTint="80"/>
        </w:rPr>
        <w:t xml:space="preserve">: </w:t>
      </w:r>
      <w:proofErr w:type="spellStart"/>
      <w:r w:rsidR="00155D32">
        <w:rPr>
          <w:i/>
          <w:iCs/>
          <w:color w:val="4C94D8" w:themeColor="text2" w:themeTint="80"/>
        </w:rPr>
        <w:t>i</w:t>
      </w:r>
      <w:proofErr w:type="spellEnd"/>
      <w:r w:rsidR="00155D32">
        <w:rPr>
          <w:i/>
          <w:iCs/>
          <w:color w:val="4C94D8" w:themeColor="text2" w:themeTint="80"/>
        </w:rPr>
        <w:t>)</w:t>
      </w:r>
      <w:r w:rsidR="00BF661B">
        <w:rPr>
          <w:i/>
          <w:iCs/>
          <w:color w:val="4C94D8" w:themeColor="text2" w:themeTint="80"/>
        </w:rPr>
        <w:t xml:space="preserve"> merge individual LCM</w:t>
      </w:r>
      <w:r w:rsidR="00155D32">
        <w:rPr>
          <w:i/>
          <w:iCs/>
          <w:color w:val="4C94D8" w:themeColor="text2" w:themeTint="80"/>
        </w:rPr>
        <w:t xml:space="preserve"> sample</w:t>
      </w:r>
      <w:r w:rsidR="00BF661B">
        <w:rPr>
          <w:i/>
          <w:iCs/>
          <w:color w:val="4C94D8" w:themeColor="text2" w:themeTint="80"/>
        </w:rPr>
        <w:t>s into chunks</w:t>
      </w:r>
      <w:r w:rsidR="003B4052">
        <w:rPr>
          <w:i/>
          <w:iCs/>
          <w:color w:val="4C94D8" w:themeColor="text2" w:themeTint="80"/>
        </w:rPr>
        <w:t xml:space="preserve"> (</w:t>
      </w:r>
      <w:r w:rsidR="003B4052">
        <w:rPr>
          <w:i/>
          <w:iCs/>
          <w:color w:val="4C94D8" w:themeColor="text2" w:themeTint="80"/>
        </w:rPr>
        <w:t>see slide 7, right panel)</w:t>
      </w:r>
      <w:r w:rsidR="00155D32">
        <w:rPr>
          <w:i/>
          <w:iCs/>
          <w:color w:val="4C94D8" w:themeColor="text2" w:themeTint="80"/>
        </w:rPr>
        <w:t>;</w:t>
      </w:r>
      <w:r w:rsidR="00BF661B">
        <w:rPr>
          <w:i/>
          <w:iCs/>
          <w:color w:val="4C94D8" w:themeColor="text2" w:themeTint="80"/>
        </w:rPr>
        <w:t xml:space="preserve"> </w:t>
      </w:r>
      <w:r w:rsidR="00155D32">
        <w:rPr>
          <w:i/>
          <w:iCs/>
          <w:color w:val="4C94D8" w:themeColor="text2" w:themeTint="80"/>
        </w:rPr>
        <w:t xml:space="preserve">ii) </w:t>
      </w:r>
      <w:r w:rsidR="00BF661B">
        <w:rPr>
          <w:i/>
          <w:iCs/>
          <w:color w:val="4C94D8" w:themeColor="text2" w:themeTint="80"/>
        </w:rPr>
        <w:t>call “chunk- level” SNVs against a big chunk of placenta samples (</w:t>
      </w:r>
      <w:r w:rsidR="00155D32">
        <w:rPr>
          <w:i/>
          <w:iCs/>
          <w:color w:val="4C94D8" w:themeColor="text2" w:themeTint="80"/>
        </w:rPr>
        <w:t>“M</w:t>
      </w:r>
      <w:r w:rsidR="00BF661B">
        <w:rPr>
          <w:i/>
          <w:iCs/>
          <w:color w:val="4C94D8" w:themeColor="text2" w:themeTint="80"/>
        </w:rPr>
        <w:t>erge” strategy)</w:t>
      </w:r>
      <w:r w:rsidR="00155D32">
        <w:rPr>
          <w:i/>
          <w:iCs/>
          <w:color w:val="4C94D8" w:themeColor="text2" w:themeTint="80"/>
        </w:rPr>
        <w:t xml:space="preserve">; </w:t>
      </w:r>
      <w:r w:rsidR="00BF661B">
        <w:rPr>
          <w:i/>
          <w:iCs/>
          <w:color w:val="4C94D8" w:themeColor="text2" w:themeTint="80"/>
        </w:rPr>
        <w:t>and</w:t>
      </w:r>
      <w:r w:rsidR="00155D32">
        <w:rPr>
          <w:i/>
          <w:iCs/>
          <w:color w:val="4C94D8" w:themeColor="text2" w:themeTint="80"/>
        </w:rPr>
        <w:t xml:space="preserve"> iii) </w:t>
      </w:r>
      <w:r w:rsidR="00BF661B">
        <w:rPr>
          <w:i/>
          <w:iCs/>
          <w:color w:val="4C94D8" w:themeColor="text2" w:themeTint="80"/>
        </w:rPr>
        <w:t xml:space="preserve"> add this new </w:t>
      </w:r>
      <w:proofErr w:type="spellStart"/>
      <w:r w:rsidR="00BF661B">
        <w:rPr>
          <w:i/>
          <w:iCs/>
          <w:color w:val="4C94D8" w:themeColor="text2" w:themeTint="80"/>
        </w:rPr>
        <w:t>callset</w:t>
      </w:r>
      <w:proofErr w:type="spellEnd"/>
      <w:r w:rsidR="00BF661B">
        <w:rPr>
          <w:i/>
          <w:iCs/>
          <w:color w:val="4C94D8" w:themeColor="text2" w:themeTint="80"/>
        </w:rPr>
        <w:t xml:space="preserve"> to the previous “single-LCM sample” calls (“LCM strategy”).</w:t>
      </w:r>
      <w:r w:rsidR="003B4052">
        <w:rPr>
          <w:i/>
          <w:iCs/>
          <w:color w:val="4C94D8" w:themeColor="text2" w:themeTint="80"/>
        </w:rPr>
        <w:t xml:space="preserve"> These union underwent two additional rounds of filtering (</w:t>
      </w:r>
      <w:r w:rsidR="003B4052">
        <w:rPr>
          <w:i/>
          <w:iCs/>
          <w:color w:val="4C94D8" w:themeColor="text2" w:themeTint="80"/>
        </w:rPr>
        <w:t>slide 20</w:t>
      </w:r>
      <w:r w:rsidR="003B4052">
        <w:rPr>
          <w:i/>
          <w:iCs/>
          <w:color w:val="4C94D8" w:themeColor="text2" w:themeTint="80"/>
        </w:rPr>
        <w:t xml:space="preserve">) before getting the final 417 SNV </w:t>
      </w:r>
      <w:proofErr w:type="spellStart"/>
      <w:r w:rsidR="003B4052">
        <w:rPr>
          <w:i/>
          <w:iCs/>
          <w:color w:val="4C94D8" w:themeColor="text2" w:themeTint="80"/>
        </w:rPr>
        <w:t>callset</w:t>
      </w:r>
      <w:proofErr w:type="spellEnd"/>
      <w:r w:rsidR="003B4052">
        <w:rPr>
          <w:i/>
          <w:iCs/>
          <w:color w:val="4C94D8" w:themeColor="text2" w:themeTint="80"/>
        </w:rPr>
        <w:t>.</w:t>
      </w:r>
    </w:p>
    <w:p w14:paraId="0B7E3A49" w14:textId="77777777" w:rsidR="00DA500A" w:rsidRPr="005702F4" w:rsidRDefault="00DA500A" w:rsidP="005702F4">
      <w:pPr>
        <w:pStyle w:val="ListParagraph"/>
      </w:pPr>
    </w:p>
    <w:p w14:paraId="0991BB47" w14:textId="62E69EF0" w:rsidR="003D0C85" w:rsidRDefault="00D44194" w:rsidP="003D0C85">
      <w:pPr>
        <w:pStyle w:val="ListParagraph"/>
        <w:numPr>
          <w:ilvl w:val="0"/>
          <w:numId w:val="1"/>
        </w:numPr>
      </w:pPr>
      <w:r w:rsidRPr="00D44194">
        <w:rPr>
          <w:lang w:val="en-US"/>
        </w:rPr>
        <w:t xml:space="preserve">From the 417 SNVs, </w:t>
      </w:r>
      <w:r>
        <w:rPr>
          <w:lang w:val="en-US"/>
        </w:rPr>
        <w:t xml:space="preserve">the </w:t>
      </w:r>
      <w:r w:rsidRPr="00D44194">
        <w:rPr>
          <w:lang w:val="en-US"/>
        </w:rPr>
        <w:t xml:space="preserve">“shared” set (116 SNVs) of mutations that were present in at least 2 chunks from 2 different regions, </w:t>
      </w:r>
      <w:r>
        <w:rPr>
          <w:lang w:val="en-US"/>
        </w:rPr>
        <w:t>a</w:t>
      </w:r>
      <w:r w:rsidR="00F017F1" w:rsidRPr="00D44194">
        <w:rPr>
          <w:lang w:val="en-US"/>
        </w:rPr>
        <w:t>re the “chunks” on slide 26</w:t>
      </w:r>
      <w:r w:rsidR="006A43F9" w:rsidRPr="00D44194">
        <w:rPr>
          <w:lang w:val="en-US"/>
        </w:rPr>
        <w:t xml:space="preserve"> (right side)</w:t>
      </w:r>
      <w:r w:rsidR="00F017F1" w:rsidRPr="00D44194">
        <w:rPr>
          <w:lang w:val="en-US"/>
        </w:rPr>
        <w:t xml:space="preserve"> the same as the bam “chunks” on slide 4</w:t>
      </w:r>
      <w:r w:rsidR="00F017F1">
        <w:t>?</w:t>
      </w:r>
    </w:p>
    <w:p w14:paraId="5EEAC95A" w14:textId="77777777" w:rsidR="003D0C85" w:rsidRDefault="003D0C85" w:rsidP="003D0C85">
      <w:pPr>
        <w:pStyle w:val="ListParagraph"/>
      </w:pPr>
    </w:p>
    <w:p w14:paraId="0B5BE19C" w14:textId="7BCADD31" w:rsidR="003D0C85" w:rsidRPr="003D0C85" w:rsidRDefault="003D0C85" w:rsidP="003D0C85">
      <w:pPr>
        <w:pStyle w:val="ListParagraph"/>
        <w:rPr>
          <w:i/>
          <w:iCs/>
          <w:color w:val="4C94D8" w:themeColor="text2" w:themeTint="80"/>
        </w:rPr>
      </w:pPr>
      <w:r w:rsidRPr="003D0C85">
        <w:rPr>
          <w:i/>
          <w:iCs/>
          <w:color w:val="4C94D8" w:themeColor="text2" w:themeTint="80"/>
        </w:rPr>
        <w:t>Yes</w:t>
      </w:r>
      <w:r w:rsidR="00DA500A">
        <w:rPr>
          <w:i/>
          <w:iCs/>
          <w:color w:val="4C94D8" w:themeColor="text2" w:themeTint="80"/>
        </w:rPr>
        <w:t>. S</w:t>
      </w:r>
      <w:r w:rsidRPr="003D0C85">
        <w:rPr>
          <w:i/>
          <w:iCs/>
          <w:color w:val="4C94D8" w:themeColor="text2" w:themeTint="80"/>
        </w:rPr>
        <w:t>ee above for chunks and shared set definitions.</w:t>
      </w:r>
    </w:p>
    <w:p w14:paraId="0C92E0F9" w14:textId="77777777" w:rsidR="005702F4" w:rsidRDefault="005702F4" w:rsidP="005702F4">
      <w:pPr>
        <w:pStyle w:val="ListParagraph"/>
      </w:pPr>
    </w:p>
    <w:p w14:paraId="31A12B08" w14:textId="50383772" w:rsidR="006A43F9" w:rsidRPr="006A43F9" w:rsidRDefault="006A43F9" w:rsidP="006A43F9">
      <w:pPr>
        <w:pStyle w:val="ListParagraph"/>
        <w:numPr>
          <w:ilvl w:val="0"/>
          <w:numId w:val="1"/>
        </w:numPr>
      </w:pPr>
      <w:r>
        <w:rPr>
          <w:lang w:val="en-US"/>
        </w:rPr>
        <w:t>On slide 34, “</w:t>
      </w:r>
      <w:r w:rsidRPr="006A43F9">
        <w:rPr>
          <w:lang w:val="en-US"/>
        </w:rPr>
        <w:t xml:space="preserve">The vast majority (208/215) </w:t>
      </w:r>
      <w:r w:rsidR="00DA500A">
        <w:rPr>
          <w:lang w:val="en-US"/>
        </w:rPr>
        <w:t xml:space="preserve">of </w:t>
      </w:r>
      <w:r w:rsidRPr="006A43F9">
        <w:rPr>
          <w:lang w:val="en-US"/>
        </w:rPr>
        <w:t xml:space="preserve">SNVs in the sensible </w:t>
      </w:r>
      <w:proofErr w:type="spellStart"/>
      <w:r w:rsidRPr="006A43F9">
        <w:rPr>
          <w:lang w:val="en-US"/>
        </w:rPr>
        <w:t>callset</w:t>
      </w:r>
      <w:proofErr w:type="spellEnd"/>
      <w:r w:rsidRPr="006A43F9">
        <w:rPr>
          <w:lang w:val="en-US"/>
        </w:rPr>
        <w:t xml:space="preserve"> is shared across regions (i.e., detected in at least 1 sample from two different regions)</w:t>
      </w:r>
      <w:r>
        <w:rPr>
          <w:lang w:val="en-US"/>
        </w:rPr>
        <w:t>”</w:t>
      </w:r>
    </w:p>
    <w:p w14:paraId="567F8356" w14:textId="16A85F0E" w:rsidR="006A43F9" w:rsidRPr="003B4052" w:rsidRDefault="006A43F9" w:rsidP="006A43F9">
      <w:pPr>
        <w:pStyle w:val="ListParagraph"/>
        <w:numPr>
          <w:ilvl w:val="0"/>
          <w:numId w:val="3"/>
        </w:numPr>
        <w:rPr>
          <w:color w:val="4C94D8" w:themeColor="text2" w:themeTint="80"/>
        </w:rPr>
      </w:pPr>
      <w:r>
        <w:rPr>
          <w:lang w:val="en-US"/>
        </w:rPr>
        <w:t>Because they are shared across regions, that makes them good candidates for informative SNVs, correct?</w:t>
      </w:r>
      <w:r w:rsidR="003B4052">
        <w:rPr>
          <w:lang w:val="en-US"/>
        </w:rPr>
        <w:t xml:space="preserve"> </w:t>
      </w:r>
      <w:r w:rsidR="003B4052" w:rsidRPr="003B4052">
        <w:rPr>
          <w:i/>
          <w:iCs/>
          <w:color w:val="4C94D8" w:themeColor="text2" w:themeTint="80"/>
          <w:lang w:val="en-US"/>
        </w:rPr>
        <w:t>Yes</w:t>
      </w:r>
    </w:p>
    <w:p w14:paraId="6746A996" w14:textId="77777777" w:rsidR="005702F4" w:rsidRPr="006A43F9" w:rsidRDefault="005702F4" w:rsidP="005702F4">
      <w:pPr>
        <w:pStyle w:val="ListParagraph"/>
        <w:ind w:left="1800"/>
      </w:pPr>
    </w:p>
    <w:p w14:paraId="47828FFA" w14:textId="7E698ABF" w:rsidR="00F017F1" w:rsidRPr="003B4052" w:rsidRDefault="00D44194" w:rsidP="006A43F9">
      <w:pPr>
        <w:pStyle w:val="ListParagraph"/>
        <w:numPr>
          <w:ilvl w:val="0"/>
          <w:numId w:val="1"/>
        </w:numPr>
      </w:pPr>
      <w:r>
        <w:t xml:space="preserve">The final SNV numbers that were analysed are then </w:t>
      </w:r>
      <w:r>
        <w:rPr>
          <w:lang w:val="en-US"/>
        </w:rPr>
        <w:t>417</w:t>
      </w:r>
      <w:r w:rsidRPr="00F017F1">
        <w:rPr>
          <w:lang w:val="en-US"/>
        </w:rPr>
        <w:t xml:space="preserve"> SNVs across 135 samples</w:t>
      </w:r>
      <w:r>
        <w:rPr>
          <w:lang w:val="en-US"/>
        </w:rPr>
        <w:t>?</w:t>
      </w:r>
      <w:r w:rsidR="003B4052">
        <w:rPr>
          <w:lang w:val="en-US"/>
        </w:rPr>
        <w:t xml:space="preserve"> </w:t>
      </w:r>
    </w:p>
    <w:p w14:paraId="45D58F79" w14:textId="444B76B0" w:rsidR="003B4052" w:rsidRPr="003B4052" w:rsidRDefault="003B4052" w:rsidP="003B4052">
      <w:pPr>
        <w:pStyle w:val="ListParagraph"/>
        <w:rPr>
          <w:i/>
          <w:iCs/>
          <w:color w:val="4C94D8" w:themeColor="text2" w:themeTint="80"/>
        </w:rPr>
      </w:pPr>
      <w:r w:rsidRPr="003B4052">
        <w:rPr>
          <w:i/>
          <w:iCs/>
          <w:color w:val="4C94D8" w:themeColor="text2" w:themeTint="80"/>
          <w:lang w:val="en-US"/>
        </w:rPr>
        <w:t xml:space="preserve">This depends on when we want to start talking about “final” mutation </w:t>
      </w:r>
      <w:proofErr w:type="spellStart"/>
      <w:r w:rsidRPr="003B4052">
        <w:rPr>
          <w:i/>
          <w:iCs/>
          <w:color w:val="4C94D8" w:themeColor="text2" w:themeTint="80"/>
          <w:lang w:val="en-US"/>
        </w:rPr>
        <w:t>callset</w:t>
      </w:r>
      <w:proofErr w:type="spellEnd"/>
      <w:r w:rsidRPr="003B4052">
        <w:rPr>
          <w:i/>
          <w:iCs/>
          <w:color w:val="4C94D8" w:themeColor="text2" w:themeTint="80"/>
          <w:lang w:val="en-US"/>
        </w:rPr>
        <w:t xml:space="preserve"> here. If we want to maintain the “Shared” and “Sensitive” definitions, it would be 417 SNVs across 69 samples (62 heart + 7 placenta, see slide 7). If we want to simplify, it would be 215 SNVs (only “Sensible” set).</w:t>
      </w:r>
    </w:p>
    <w:p w14:paraId="5CCBB7E9" w14:textId="77777777" w:rsidR="005702F4" w:rsidRPr="00D44194" w:rsidRDefault="005702F4" w:rsidP="005702F4">
      <w:pPr>
        <w:pStyle w:val="ListParagraph"/>
      </w:pPr>
    </w:p>
    <w:p w14:paraId="6F6E75DE" w14:textId="4E124532" w:rsidR="00F017F1" w:rsidRPr="003B4052" w:rsidRDefault="00041F8E" w:rsidP="005C5E98">
      <w:pPr>
        <w:pStyle w:val="ListParagraph"/>
        <w:numPr>
          <w:ilvl w:val="0"/>
          <w:numId w:val="1"/>
        </w:numPr>
      </w:pPr>
      <w:r>
        <w:rPr>
          <w:lang w:val="en-US"/>
        </w:rPr>
        <w:t>Which are the 27 mutations that you mention at the end? Slide 41 mentions only 26 mutations for ventricles and IVS.</w:t>
      </w:r>
    </w:p>
    <w:p w14:paraId="27724AA2" w14:textId="77777777" w:rsidR="003B4052" w:rsidRPr="005702F4" w:rsidRDefault="003B4052" w:rsidP="003B4052">
      <w:pPr>
        <w:pStyle w:val="ListParagraph"/>
      </w:pPr>
    </w:p>
    <w:p w14:paraId="2A6E15B6" w14:textId="77777777" w:rsidR="005702F4" w:rsidRDefault="005702F4" w:rsidP="005702F4">
      <w:pPr>
        <w:pStyle w:val="ListParagraph"/>
      </w:pPr>
    </w:p>
    <w:p w14:paraId="3DC6BAA3" w14:textId="4A86A4D3" w:rsidR="00041F8E" w:rsidRDefault="005702F4" w:rsidP="005C5E98">
      <w:pPr>
        <w:pStyle w:val="ListParagraph"/>
        <w:numPr>
          <w:ilvl w:val="0"/>
          <w:numId w:val="1"/>
        </w:numPr>
      </w:pPr>
      <w:r>
        <w:t>H</w:t>
      </w:r>
      <w:r w:rsidR="00041F8E">
        <w:t xml:space="preserve">ow should we interpret the AD in the spatial analyses and context of AF? </w:t>
      </w:r>
      <w:proofErr w:type="spellStart"/>
      <w:r w:rsidR="00041F8E">
        <w:t>eg</w:t>
      </w:r>
      <w:proofErr w:type="spellEnd"/>
      <w:r w:rsidR="00041F8E">
        <w:t xml:space="preserve"> slides 44-51. </w:t>
      </w:r>
    </w:p>
    <w:p w14:paraId="0942EC3C" w14:textId="77777777" w:rsidR="005702F4" w:rsidRDefault="005702F4" w:rsidP="005702F4">
      <w:pPr>
        <w:pStyle w:val="ListParagraph"/>
      </w:pPr>
    </w:p>
    <w:p w14:paraId="22592C83" w14:textId="7D481F2D" w:rsidR="00041F8E" w:rsidRDefault="00041F8E" w:rsidP="00041F8E">
      <w:pPr>
        <w:pStyle w:val="ListParagraph"/>
        <w:numPr>
          <w:ilvl w:val="0"/>
          <w:numId w:val="1"/>
        </w:numPr>
      </w:pPr>
      <w:r>
        <w:t>Could you generate a table with the mutation IDs linked to individual LCM cuts?</w:t>
      </w:r>
    </w:p>
    <w:p w14:paraId="64928358" w14:textId="0DEAE3FC" w:rsidR="00041F8E" w:rsidRDefault="00041F8E" w:rsidP="00041F8E">
      <w:pPr>
        <w:pStyle w:val="ListParagraph"/>
        <w:numPr>
          <w:ilvl w:val="0"/>
          <w:numId w:val="3"/>
        </w:numPr>
      </w:pPr>
      <w:r>
        <w:t>Something like this:</w:t>
      </w:r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41F8E" w14:paraId="44EAF481" w14:textId="77777777" w:rsidTr="00041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5340157" w14:textId="0303FC9C" w:rsidR="00041F8E" w:rsidRDefault="00041F8E" w:rsidP="00041F8E">
            <w:pPr>
              <w:pStyle w:val="ListParagraph"/>
              <w:ind w:left="0"/>
            </w:pPr>
            <w:r>
              <w:t>LCM ID</w:t>
            </w:r>
          </w:p>
        </w:tc>
        <w:tc>
          <w:tcPr>
            <w:tcW w:w="2254" w:type="dxa"/>
          </w:tcPr>
          <w:p w14:paraId="672464EF" w14:textId="3A57DD06" w:rsidR="00041F8E" w:rsidRDefault="00041F8E" w:rsidP="00041F8E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SNV 1</w:t>
            </w:r>
          </w:p>
        </w:tc>
        <w:tc>
          <w:tcPr>
            <w:tcW w:w="2254" w:type="dxa"/>
          </w:tcPr>
          <w:p w14:paraId="7A410840" w14:textId="70720804" w:rsidR="00041F8E" w:rsidRDefault="00041F8E" w:rsidP="00041F8E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SNV 2</w:t>
            </w:r>
          </w:p>
        </w:tc>
        <w:tc>
          <w:tcPr>
            <w:tcW w:w="2254" w:type="dxa"/>
          </w:tcPr>
          <w:p w14:paraId="2BE680E1" w14:textId="56020132" w:rsidR="00041F8E" w:rsidRDefault="00041F8E" w:rsidP="00041F8E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SNV 3</w:t>
            </w:r>
          </w:p>
        </w:tc>
      </w:tr>
      <w:tr w:rsidR="00041F8E" w14:paraId="177E8353" w14:textId="77777777" w:rsidTr="00041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4B2DE9F" w14:textId="364C02DF" w:rsidR="00041F8E" w:rsidRDefault="00041F8E" w:rsidP="00041F8E">
            <w:pPr>
              <w:pStyle w:val="ListParagraph"/>
              <w:ind w:left="0"/>
            </w:pPr>
            <w:r>
              <w:t>A40285</w:t>
            </w:r>
          </w:p>
        </w:tc>
        <w:tc>
          <w:tcPr>
            <w:tcW w:w="2254" w:type="dxa"/>
          </w:tcPr>
          <w:p w14:paraId="5D132080" w14:textId="23C5A248" w:rsidR="00041F8E" w:rsidRDefault="00041F8E" w:rsidP="00041F8E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254" w:type="dxa"/>
          </w:tcPr>
          <w:p w14:paraId="41D2A4D1" w14:textId="6FEF5934" w:rsidR="00041F8E" w:rsidRDefault="00041F8E" w:rsidP="00041F8E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254" w:type="dxa"/>
          </w:tcPr>
          <w:p w14:paraId="4909C95B" w14:textId="4C3E10CF" w:rsidR="00041F8E" w:rsidRDefault="00041F8E" w:rsidP="00041F8E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041F8E" w14:paraId="14CA1629" w14:textId="77777777" w:rsidTr="00041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B80C3C4" w14:textId="303978D7" w:rsidR="00041F8E" w:rsidRDefault="00041F8E" w:rsidP="00041F8E">
            <w:pPr>
              <w:pStyle w:val="ListParagraph"/>
              <w:ind w:left="0"/>
            </w:pPr>
            <w:r>
              <w:lastRenderedPageBreak/>
              <w:t>A40286</w:t>
            </w:r>
          </w:p>
        </w:tc>
        <w:tc>
          <w:tcPr>
            <w:tcW w:w="2254" w:type="dxa"/>
          </w:tcPr>
          <w:p w14:paraId="45E33462" w14:textId="4FE4D1AE" w:rsidR="00041F8E" w:rsidRDefault="00041F8E" w:rsidP="00041F8E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254" w:type="dxa"/>
          </w:tcPr>
          <w:p w14:paraId="385D68F2" w14:textId="3DB51C98" w:rsidR="00041F8E" w:rsidRDefault="00041F8E" w:rsidP="00041F8E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254" w:type="dxa"/>
          </w:tcPr>
          <w:p w14:paraId="728FE17B" w14:textId="6816DB38" w:rsidR="00041F8E" w:rsidRDefault="00041F8E" w:rsidP="00041F8E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41F8E" w14:paraId="15E7205B" w14:textId="77777777" w:rsidTr="00041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FA3C5A1" w14:textId="339CDC8B" w:rsidR="00041F8E" w:rsidRDefault="00041F8E" w:rsidP="00041F8E">
            <w:pPr>
              <w:pStyle w:val="ListParagraph"/>
              <w:ind w:left="0"/>
            </w:pPr>
            <w:r>
              <w:t>A40287</w:t>
            </w:r>
          </w:p>
        </w:tc>
        <w:tc>
          <w:tcPr>
            <w:tcW w:w="2254" w:type="dxa"/>
          </w:tcPr>
          <w:p w14:paraId="68E17E10" w14:textId="184CCDFD" w:rsidR="00041F8E" w:rsidRDefault="00041F8E" w:rsidP="00041F8E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254" w:type="dxa"/>
          </w:tcPr>
          <w:p w14:paraId="2DAE1E14" w14:textId="37C61BE7" w:rsidR="00041F8E" w:rsidRDefault="00041F8E" w:rsidP="00041F8E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254" w:type="dxa"/>
          </w:tcPr>
          <w:p w14:paraId="0BC4BF2F" w14:textId="55872B37" w:rsidR="00041F8E" w:rsidRDefault="00041F8E" w:rsidP="00041F8E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041F8E" w14:paraId="05FBD923" w14:textId="77777777" w:rsidTr="00041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1F40B6D" w14:textId="3B445F4C" w:rsidR="00041F8E" w:rsidRDefault="00041F8E" w:rsidP="00041F8E">
            <w:pPr>
              <w:pStyle w:val="ListParagraph"/>
              <w:ind w:left="0"/>
            </w:pPr>
            <w:r>
              <w:t>A40288</w:t>
            </w:r>
          </w:p>
        </w:tc>
        <w:tc>
          <w:tcPr>
            <w:tcW w:w="2254" w:type="dxa"/>
          </w:tcPr>
          <w:p w14:paraId="2A670707" w14:textId="4908C58B" w:rsidR="00041F8E" w:rsidRDefault="00041F8E" w:rsidP="00041F8E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254" w:type="dxa"/>
          </w:tcPr>
          <w:p w14:paraId="4D855462" w14:textId="708F44A7" w:rsidR="00041F8E" w:rsidRDefault="00041F8E" w:rsidP="00041F8E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254" w:type="dxa"/>
          </w:tcPr>
          <w:p w14:paraId="0F032053" w14:textId="4349AEBB" w:rsidR="00041F8E" w:rsidRDefault="00041F8E" w:rsidP="00041F8E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2F03C460" w14:textId="79AB50BA" w:rsidR="00F017F1" w:rsidRPr="00F017F1" w:rsidRDefault="00F5607D" w:rsidP="00F5607D">
      <w:pPr>
        <w:ind w:left="1440"/>
      </w:pPr>
      <w:r>
        <w:sym w:font="Wingdings" w:char="F0E0"/>
      </w:r>
      <w:r w:rsidR="00041F8E">
        <w:t>This would allow us to start projecting them unto the 3D reconstruction already.</w:t>
      </w:r>
    </w:p>
    <w:p w14:paraId="6825E19F" w14:textId="03E51461" w:rsidR="00F017F1" w:rsidRPr="00F017F1" w:rsidRDefault="00F017F1" w:rsidP="00041F8E">
      <w:r w:rsidRPr="00F017F1">
        <w:t> </w:t>
      </w:r>
    </w:p>
    <w:p w14:paraId="104D8714" w14:textId="77777777" w:rsidR="00F017F1" w:rsidRPr="00F017F1" w:rsidRDefault="00F017F1" w:rsidP="00F017F1">
      <w:r w:rsidRPr="00F017F1">
        <w:t> </w:t>
      </w:r>
    </w:p>
    <w:p w14:paraId="15674FFE" w14:textId="77777777" w:rsidR="003872D5" w:rsidRDefault="003872D5"/>
    <w:sectPr w:rsidR="003872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1E79"/>
    <w:multiLevelType w:val="hybridMultilevel"/>
    <w:tmpl w:val="9CF28998"/>
    <w:lvl w:ilvl="0" w:tplc="20221B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44BF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14C9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A650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62E6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680C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A4DD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C45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A652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BE353C6"/>
    <w:multiLevelType w:val="hybridMultilevel"/>
    <w:tmpl w:val="7154415A"/>
    <w:lvl w:ilvl="0" w:tplc="820681D0"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5DF25304"/>
    <w:multiLevelType w:val="hybridMultilevel"/>
    <w:tmpl w:val="DF4C1976"/>
    <w:lvl w:ilvl="0" w:tplc="79A04D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766546">
    <w:abstractNumId w:val="2"/>
  </w:num>
  <w:num w:numId="2" w16cid:durableId="1842044806">
    <w:abstractNumId w:val="0"/>
  </w:num>
  <w:num w:numId="3" w16cid:durableId="764426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017F1"/>
    <w:rsid w:val="00041F8E"/>
    <w:rsid w:val="00155D32"/>
    <w:rsid w:val="002F204D"/>
    <w:rsid w:val="003872D5"/>
    <w:rsid w:val="003B4052"/>
    <w:rsid w:val="003D0C85"/>
    <w:rsid w:val="0049429B"/>
    <w:rsid w:val="00510CC0"/>
    <w:rsid w:val="005702F4"/>
    <w:rsid w:val="006A43F9"/>
    <w:rsid w:val="006B6F9E"/>
    <w:rsid w:val="0075036C"/>
    <w:rsid w:val="0075161F"/>
    <w:rsid w:val="00805C18"/>
    <w:rsid w:val="009E092D"/>
    <w:rsid w:val="00BF661B"/>
    <w:rsid w:val="00C13BE5"/>
    <w:rsid w:val="00C35A0A"/>
    <w:rsid w:val="00D44194"/>
    <w:rsid w:val="00DA500A"/>
    <w:rsid w:val="00E508B4"/>
    <w:rsid w:val="00F017F1"/>
    <w:rsid w:val="00F5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4CD412"/>
  <w15:docId w15:val="{CFCF4FB8-6DB5-480E-BC9C-767738D0B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7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1F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11">
    <w:name w:val="Grid Table 4 - Accent 11"/>
    <w:basedOn w:val="TableNormal"/>
    <w:uiPriority w:val="49"/>
    <w:rsid w:val="00041F8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8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64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7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4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1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0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26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8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9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7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96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7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6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6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0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4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5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937</Words>
  <Characters>4077</Characters>
  <Application>Microsoft Office Word</Application>
  <DocSecurity>0</DocSecurity>
  <Lines>185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 - DPAG</Company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Cortes Rodriguez</dc:creator>
  <cp:keywords/>
  <dc:description/>
  <cp:lastModifiedBy>Andrea Cossa</cp:lastModifiedBy>
  <cp:revision>9</cp:revision>
  <dcterms:created xsi:type="dcterms:W3CDTF">2026-07-03T12:48:00Z</dcterms:created>
  <dcterms:modified xsi:type="dcterms:W3CDTF">2026-07-10T15:33:00Z</dcterms:modified>
</cp:coreProperties>
</file>