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9779D4">
      <w:proofErr w:type="gramStart"/>
      <w:r>
        <w:t>1</w:t>
      </w:r>
      <w:proofErr w:type="gramEnd"/>
      <w:r>
        <w:t>)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proofErr w:type="gramStart"/>
      <w:r w:rsidRPr="009779D4">
        <w:rPr>
          <w:rFonts w:ascii="Courier New" w:hAnsi="Courier New" w:cs="Courier New"/>
          <w:sz w:val="20"/>
        </w:rPr>
        <w:t>paleta</w:t>
      </w:r>
      <w:proofErr w:type="gramEnd"/>
      <w:r w:rsidRPr="009779D4">
        <w:rPr>
          <w:rFonts w:ascii="Courier New" w:hAnsi="Courier New" w:cs="Courier New"/>
          <w:sz w:val="20"/>
        </w:rPr>
        <w:t>-imagem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 xml:space="preserve">-e: </w:t>
      </w:r>
      <w:proofErr w:type="spellStart"/>
      <w:r w:rsidRPr="009779D4">
        <w:rPr>
          <w:rFonts w:ascii="Courier New" w:hAnsi="Courier New" w:cs="Courier New"/>
          <w:sz w:val="20"/>
          <w:szCs w:val="20"/>
        </w:rPr>
        <w:t>encoding</w:t>
      </w:r>
      <w:proofErr w:type="spellEnd"/>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 xml:space="preserve">-d: </w:t>
      </w:r>
      <w:proofErr w:type="spellStart"/>
      <w:r w:rsidRPr="009779D4">
        <w:rPr>
          <w:rFonts w:ascii="Courier New" w:hAnsi="Courier New" w:cs="Courier New"/>
          <w:sz w:val="20"/>
          <w:szCs w:val="20"/>
        </w:rPr>
        <w:t>decoding</w:t>
      </w:r>
      <w:proofErr w:type="spellEnd"/>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proofErr w:type="gramStart"/>
      <w:r w:rsidRPr="009D67A3">
        <w:rPr>
          <w:rFonts w:ascii="Courier New" w:hAnsi="Courier New" w:cs="Courier New"/>
          <w:sz w:val="20"/>
          <w:szCs w:val="20"/>
        </w:rPr>
        <w:t>paleta</w:t>
      </w:r>
      <w:proofErr w:type="gramEnd"/>
      <w:r w:rsidRPr="009D67A3">
        <w:rPr>
          <w:rFonts w:ascii="Courier New" w:hAnsi="Courier New" w:cs="Courier New"/>
          <w:sz w:val="20"/>
          <w:szCs w:val="20"/>
        </w:rPr>
        <w:t>-imagem hei02.bmp 0 -e</w:t>
      </w:r>
    </w:p>
    <w:p w:rsidR="00063A44" w:rsidRDefault="00063A44" w:rsidP="00063A44">
      <w:r>
        <w:t xml:space="preserve">Usando a imagem hei02.bmp, </w:t>
      </w:r>
      <w:proofErr w:type="spellStart"/>
      <w:r>
        <w:t>side-by-side</w:t>
      </w:r>
      <w:proofErr w:type="spellEnd"/>
      <w:r>
        <w:t xml:space="preserv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w:t>
      </w:r>
      <w:proofErr w:type="gramStart"/>
      <w:r>
        <w:t>cada</w:t>
      </w:r>
      <w:proofErr w:type="gramEnd"/>
      <w:r>
        <w:t xml:space="preserve"> </w:t>
      </w:r>
      <w:proofErr w:type="gramStart"/>
      <w:r>
        <w:lastRenderedPageBreak/>
        <w:t>imagem</w:t>
      </w:r>
      <w:proofErr w:type="gramEnd"/>
      <w:r>
        <w:t xml:space="preserve">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9779D4"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Pr="00063A44"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bookmarkStart w:id="0" w:name="_GoBack"/>
      <w:bookmarkEnd w:id="0"/>
    </w:p>
    <w:sectPr w:rsidR="00227DCF" w:rsidRPr="00063A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1060B2"/>
    <w:rsid w:val="00227DCF"/>
    <w:rsid w:val="0025507D"/>
    <w:rsid w:val="006D2276"/>
    <w:rsid w:val="006D7EC2"/>
    <w:rsid w:val="00741B7C"/>
    <w:rsid w:val="007972D4"/>
    <w:rsid w:val="009779D4"/>
    <w:rsid w:val="009D67A3"/>
    <w:rsid w:val="00B1465E"/>
    <w:rsid w:val="00CA777B"/>
    <w:rsid w:val="00DB0BFA"/>
    <w:rsid w:val="00F14C08"/>
    <w:rsid w:val="00F57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389</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11</cp:revision>
  <dcterms:created xsi:type="dcterms:W3CDTF">2011-04-06T19:56:00Z</dcterms:created>
  <dcterms:modified xsi:type="dcterms:W3CDTF">2011-04-11T23:19:00Z</dcterms:modified>
</cp:coreProperties>
</file>