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B2A4A"/>
          <w:sz w:val="56"/>
          <w:szCs w:val="56"/>
        </w:rPr>
        <w:t xml:space="preserve">E-AUDIT</w:t>
      </w:r>
    </w:p>
    <w:p>
      <w:pPr>
        <w:spacing w:after="220"/>
      </w:pPr>
      <w:r>
        <w:rPr>
          <w:b/>
          <w:bCs/>
          <w:color w:val="0E6B57"/>
          <w:sz w:val="26"/>
          <w:szCs w:val="26"/>
        </w:rPr>
        <w:t xml:space="preserve">AI-Assisted VAT Audit Agent for ZATCA — Solution Overview</w:t>
      </w:r>
    </w:p>
    <w:p>
      <w:pPr>
        <w:spacing w:after="60"/>
      </w:pPr>
      <w:r>
        <w:rPr>
          <w:b/>
          <w:bCs/>
          <w:color w:val="1B2A4A"/>
          <w:sz w:val="19"/>
          <w:szCs w:val="19"/>
        </w:rPr>
        <w:t xml:space="preserve">Status  </w:t>
      </w:r>
      <w:r>
        <w:rPr>
          <w:color w:val="23282E"/>
          <w:sz w:val="19"/>
          <w:szCs w:val="19"/>
        </w:rPr>
        <w:t xml:space="preserve">Proof of concept / stakeholder demo. Synthetic data only.</w:t>
      </w:r>
    </w:p>
    <w:p>
      <w:pPr>
        <w:spacing w:after="60"/>
      </w:pPr>
      <w:r>
        <w:rPr>
          <w:b/>
          <w:bCs/>
          <w:color w:val="1B2A4A"/>
          <w:sz w:val="19"/>
          <w:szCs w:val="19"/>
        </w:rPr>
        <w:t xml:space="preserve">Core invariant  </w:t>
      </w:r>
      <w:r>
        <w:rPr>
          <w:color w:val="23282E"/>
          <w:sz w:val="19"/>
          <w:szCs w:val="19"/>
        </w:rPr>
        <w:t xml:space="preserve">The deterministic engine computes every number. Language models write words only, and every drafted claim is verified against engine facts before it is shown. A human auditor approves everything that leaves the building.</w:t>
      </w:r>
    </w:p>
    <w:p>
      <w:pPr>
        <w:spacing w:after="300"/>
      </w:pPr>
      <w:r>
        <w:rPr>
          <w:b/>
          <w:bCs/>
          <w:color w:val="1B2A4A"/>
          <w:sz w:val="19"/>
          <w:szCs w:val="19"/>
        </w:rPr>
        <w:t xml:space="preserve">Date  </w:t>
      </w:r>
      <w:r>
        <w:rPr>
          <w:color w:val="23282E"/>
          <w:sz w:val="19"/>
          <w:szCs w:val="19"/>
        </w:rPr>
        <w:t xml:space="preserve">21 August 2026</w:t>
      </w:r>
    </w:p>
    <w:p>
      <w:pPr>
        <w:pBdr>
          <w:bottom w:val="single" w:color="C9D2CE" w:sz="4" w:space="1"/>
        </w:pBdr>
        <w:spacing w:after="200"/>
      </w:pPr>
      <w:r>
        <w:rPr>
          <w:sz w:val="2"/>
          <w:szCs w:val="2"/>
        </w:rPr>
        <w:t xml:space="preserve"/>
      </w:r>
    </w:p>
    <w:p>
      <w:pPr>
        <w:pStyle w:val="Heading1"/>
        <w:pBdr>
          <w:bottom w:val="single" w:color="0E6B57" w:sz="6" w:space="4"/>
        </w:pBdr>
        <w:spacing w:after="160" w:before="420"/>
      </w:pPr>
      <w:r>
        <w:rPr>
          <w:b/>
          <w:bCs/>
          <w:color w:val="1B2A4A"/>
          <w:sz w:val="28"/>
          <w:szCs w:val="28"/>
        </w:rPr>
        <w:t xml:space="preserve">1. Objective &amp; Overview</w:t>
      </w:r>
    </w:p>
    <w:p>
      <w:pPr>
        <w:spacing w:after="140" w:line="276"/>
      </w:pPr>
      <w:r>
        <w:rPr>
          <w:color w:val="23282E"/>
          <w:sz w:val="21"/>
          <w:szCs w:val="21"/>
        </w:rPr>
        <w:t xml:space="preserve">E-AUDIT is an AI-assisted VAT audit workbench built for ZATCA (the Saudi Zakat, Tax and Customs Authority), as a stakeholder demo and proof of concept. It begins the moment a taxpayer's documents arrive — not upstream of that, and not from a pre-computed risk-engine output. Everything the system needs is in the files the taxpayer actually sent.</w:t>
      </w:r>
    </w:p>
    <w:p>
      <w:pPr>
        <w:spacing w:after="140" w:line="276"/>
      </w:pPr>
      <w:r>
        <w:rPr>
          <w:color w:val="23282E"/>
          <w:sz w:val="21"/>
          <w:szCs w:val="21"/>
        </w:rPr>
        <w:t xml:space="preserve">The objective, in one sentence: let an auditor spend their time on the cases that are genuinely wrong, instead of on chasing paperwork or re-deriving arithmetic a machine can check exactly.</w:t>
      </w:r>
    </w:p>
    <w:p>
      <w:pPr>
        <w:pStyle w:val="Heading2"/>
        <w:spacing w:after="100" w:before="260"/>
      </w:pPr>
      <w:r>
        <w:rPr>
          <w:b/>
          <w:bCs/>
          <w:color w:val="0E6B57"/>
          <w:sz w:val="23"/>
          <w:szCs w:val="23"/>
        </w:rPr>
        <w:t xml:space="preserve">The two jobs, in order</w:t>
      </w:r>
    </w:p>
    <w:p>
      <w:pPr>
        <w:pStyle w:val="ListParagraph"/>
        <w:numPr>
          <w:ilvl w:val="0"/>
          <w:numId w:val="2"/>
        </w:numPr>
        <w:spacing w:after="90" w:line="268"/>
      </w:pPr>
      <w:r>
        <w:rPr>
          <w:b/>
          <w:bCs/>
          <w:color w:val="1B2A4A"/>
          <w:sz w:val="21"/>
          <w:szCs w:val="21"/>
        </w:rPr>
        <w:t xml:space="preserve">Did we get what we asked for? </w:t>
      </w:r>
      <w:r>
        <w:rPr>
          <w:b w:val="false"/>
          <w:bCs w:val="false"/>
          <w:color w:val="23282E"/>
          <w:sz w:val="21"/>
          <w:szCs w:val="21"/>
        </w:rPr>
        <w:t xml:space="preserve">The auditor pastes the email they actually sent; it is parsed into a checkable specification, which the auditor confirms. The uploaded spreadsheets are then compared against that specification — missing items, missing columns, blank mandatory fields, period coverage, and totals that do not foot — and the chase email is drafted from the gaps alone.</w:t>
      </w:r>
    </w:p>
    <w:p>
      <w:pPr>
        <w:pStyle w:val="ListParagraph"/>
        <w:numPr>
          <w:ilvl w:val="0"/>
          <w:numId w:val="2"/>
        </w:numPr>
        <w:spacing w:after="90" w:line="268"/>
      </w:pPr>
      <w:r>
        <w:rPr>
          <w:b/>
          <w:bCs/>
          <w:color w:val="1B2A4A"/>
          <w:sz w:val="21"/>
          <w:szCs w:val="21"/>
        </w:rPr>
        <w:t xml:space="preserve">What does it mean? </w:t>
      </w:r>
      <w:r>
        <w:rPr>
          <w:b w:val="false"/>
          <w:bCs w:val="false"/>
          <w:color w:val="23282E"/>
          <w:sz w:val="21"/>
          <w:szCs w:val="21"/>
        </w:rPr>
        <w:t xml:space="preserve">The engine decides which uploaded lines qualify for the box and the period, sums them into an expected VAT return, and compares that against what was declared. Four agents propose findings; a deterministic adjudicator settles them.</w:t>
      </w:r>
    </w:p>
    <w:p>
      <w:pPr>
        <w:spacing w:after="140" w:line="276"/>
      </w:pPr>
      <w:r>
        <w:rPr>
          <w:color w:val="23282E"/>
          <w:sz w:val="21"/>
          <w:szCs w:val="21"/>
        </w:rPr>
        <w:t xml:space="preserve">Both the output side (standard-rated sales) and the input side (standard-rated purchases) are qualified and reconciled separately, using the same machinery.</w:t>
      </w:r>
    </w:p>
    <w:p>
      <w:pPr>
        <w:pStyle w:val="Heading1"/>
        <w:pBdr>
          <w:bottom w:val="single" w:color="0E6B57" w:sz="6" w:space="4"/>
        </w:pBdr>
        <w:spacing w:after="160" w:before="420"/>
      </w:pPr>
      <w:r>
        <w:rPr>
          <w:b/>
          <w:bCs/>
          <w:color w:val="1B2A4A"/>
          <w:sz w:val="28"/>
          <w:szCs w:val="28"/>
        </w:rPr>
        <w:t xml:space="preserve">2. Why This Project Matters</w:t>
      </w:r>
    </w:p>
    <w:p>
      <w:pPr>
        <w:spacing w:after="140" w:line="276"/>
      </w:pPr>
      <w:r>
        <w:rPr>
          <w:color w:val="23282E"/>
          <w:sz w:val="21"/>
          <w:szCs w:val="21"/>
        </w:rPr>
        <w:t xml:space="preserve">AI inside a tax-audit workflow carries a specific risk that a normal software project does not: a hallucinated or unverifiable figure inside a report is not a UX defect, it is a legal liability. A finding a taxpayer can contest, or a number that cannot be traced back to a document, undermines the whole audit.</w:t>
      </w:r>
    </w:p>
    <w:p>
      <w:pPr>
        <w:pStyle w:val="ListParagraph"/>
        <w:numPr>
          <w:ilvl w:val="0"/>
          <w:numId w:val="2"/>
        </w:numPr>
        <w:spacing w:after="90" w:line="268"/>
      </w:pPr>
      <w:r>
        <w:rPr>
          <w:b/>
          <w:bCs/>
          <w:color w:val="1B2A4A"/>
          <w:sz w:val="21"/>
          <w:szCs w:val="21"/>
        </w:rPr>
        <w:t xml:space="preserve">It is defensible by construction. </w:t>
      </w:r>
      <w:r>
        <w:rPr>
          <w:b w:val="false"/>
          <w:bCs w:val="false"/>
          <w:color w:val="23282E"/>
          <w:sz w:val="21"/>
          <w:szCs w:val="21"/>
        </w:rPr>
        <w:t xml:space="preserve">Every number in the system comes from deterministic Python — never from a model. Every sentence a model drafts is checked against the engine's own facts before display, with a corrective retry and then an honest deterministic fallback if verification still fails. That is also why the whole application, including the letters and the investigation, works correctly with no API key at all: degrading to the deterministic path costs polish, never correctness.</w:t>
      </w:r>
    </w:p>
    <w:p>
      <w:pPr>
        <w:pStyle w:val="ListParagraph"/>
        <w:numPr>
          <w:ilvl w:val="0"/>
          <w:numId w:val="2"/>
        </w:numPr>
        <w:spacing w:after="90" w:line="268"/>
      </w:pPr>
      <w:r>
        <w:rPr>
          <w:b/>
          <w:bCs/>
          <w:color w:val="1B2A4A"/>
          <w:sz w:val="21"/>
          <w:szCs w:val="21"/>
        </w:rPr>
        <w:t xml:space="preserve">It targets real, named time costs. </w:t>
      </w:r>
      <w:r>
        <w:rPr>
          <w:b w:val="false"/>
          <w:bCs w:val="false"/>
          <w:color w:val="23282E"/>
          <w:sz w:val="21"/>
          <w:szCs w:val="21"/>
        </w:rPr>
        <w:t xml:space="preserve">Most of what auditors described spending their time on (Section 3) is checkable structure, not judgement. Automating the checkable part is a direct multiplier on auditor capacity, without asking anyone to trust an AI-authored figure.</w:t>
      </w:r>
    </w:p>
    <w:p>
      <w:pPr>
        <w:pStyle w:val="ListParagraph"/>
        <w:numPr>
          <w:ilvl w:val="0"/>
          <w:numId w:val="2"/>
        </w:numPr>
        <w:spacing w:after="90" w:line="268"/>
      </w:pPr>
      <w:r>
        <w:rPr>
          <w:b/>
          <w:bCs/>
          <w:color w:val="1B2A4A"/>
          <w:sz w:val="21"/>
          <w:szCs w:val="21"/>
        </w:rPr>
        <w:t xml:space="preserve">It reduces unnecessary taxpayer contact. </w:t>
      </w:r>
      <w:r>
        <w:rPr>
          <w:b w:val="false"/>
          <w:bCs w:val="false"/>
          <w:color w:val="23282E"/>
          <w:sz w:val="21"/>
          <w:szCs w:val="21"/>
        </w:rPr>
        <w:t xml:space="preserve">A difference between declared and expected is not automatically a finding — it becomes one only once it is material, unexplained after every qualification rule has had its say, and not accounted for by any pattern the investigation layer can test. Differences with an innocent, evidenced explanation are resolved from data already on file, not escalated.</w:t>
      </w:r>
    </w:p>
    <w:p>
      <w:pPr>
        <w:pStyle w:val="Heading1"/>
        <w:pBdr>
          <w:bottom w:val="single" w:color="0E6B57" w:sz="6" w:space="4"/>
        </w:pBdr>
        <w:spacing w:after="160" w:before="420"/>
      </w:pPr>
      <w:r>
        <w:rPr>
          <w:b/>
          <w:bCs/>
          <w:color w:val="1B2A4A"/>
          <w:sz w:val="28"/>
          <w:szCs w:val="28"/>
        </w:rPr>
        <w:t xml:space="preserve">3. Challenges Faced by the Audit Team</w:t>
      </w:r>
    </w:p>
    <w:p>
      <w:pPr>
        <w:spacing w:after="140" w:line="276"/>
      </w:pPr>
      <w:r>
        <w:rPr>
          <w:color w:val="23282E"/>
          <w:sz w:val="21"/>
          <w:szCs w:val="21"/>
        </w:rPr>
        <w:t xml:space="preserve">This project exists because of four pain points the auditors described directly, and which recur throughout the codebase's own design rationale (each is named at the point in the system that answers it):</w:t>
      </w:r>
    </w:p>
    <w:p>
      <w:pPr>
        <w:pStyle w:val="ListParagraph"/>
        <w:numPr>
          <w:ilvl w:val="0"/>
          <w:numId w:val="2"/>
        </w:numPr>
        <w:spacing w:after="90" w:line="268"/>
      </w:pPr>
      <w:r>
        <w:rPr>
          <w:b/>
          <w:bCs/>
          <w:color w:val="1B2A4A"/>
          <w:sz w:val="21"/>
          <w:szCs w:val="21"/>
        </w:rPr>
        <w:t xml:space="preserve">Correspondence takes months. </w:t>
      </w:r>
      <w:r>
        <w:rPr>
          <w:b w:val="false"/>
          <w:bCs w:val="false"/>
          <w:color w:val="23282E"/>
          <w:sz w:val="21"/>
          <w:szCs w:val="21"/>
        </w:rPr>
        <w:t xml:space="preserve">Each round of taxpayer response can cost weeks, and a queue that cannot tell “waiting on the taxpayer” apart from “waiting on the auditor” cannot be prioritised.</w:t>
      </w:r>
    </w:p>
    <w:p>
      <w:pPr>
        <w:pStyle w:val="ListParagraph"/>
        <w:numPr>
          <w:ilvl w:val="0"/>
          <w:numId w:val="2"/>
        </w:numPr>
        <w:spacing w:after="90" w:line="268"/>
      </w:pPr>
      <w:r>
        <w:rPr>
          <w:b/>
          <w:bCs/>
          <w:color w:val="1B2A4A"/>
          <w:sz w:val="21"/>
          <w:szCs w:val="21"/>
        </w:rPr>
        <w:t xml:space="preserve">Most review time goes to structure, not substance. </w:t>
      </w:r>
      <w:r>
        <w:rPr>
          <w:b w:val="false"/>
          <w:bCs w:val="false"/>
          <w:color w:val="23282E"/>
          <w:sz w:val="21"/>
          <w:szCs w:val="21"/>
        </w:rPr>
        <w:t xml:space="preserve">Checking a response for missing items, missing columns, blank fields and totals that do not foot happens before a single tax question can even be asked.</w:t>
      </w:r>
    </w:p>
    <w:p>
      <w:pPr>
        <w:pStyle w:val="ListParagraph"/>
        <w:numPr>
          <w:ilvl w:val="0"/>
          <w:numId w:val="2"/>
        </w:numPr>
        <w:spacing w:after="90" w:line="268"/>
      </w:pPr>
      <w:r>
        <w:rPr>
          <w:b/>
          <w:bCs/>
          <w:color w:val="1B2A4A"/>
          <w:sz w:val="21"/>
          <w:szCs w:val="21"/>
        </w:rPr>
        <w:t xml:space="preserve">Internal data is fragmented across systems. </w:t>
      </w:r>
      <w:r>
        <w:rPr>
          <w:b w:val="false"/>
          <w:bCs w:val="false"/>
          <w:color w:val="23282E"/>
          <w:sz w:val="21"/>
          <w:szCs w:val="21"/>
        </w:rPr>
        <w:t xml:space="preserve">Before an auditor can say what is genuinely missing, they have to open several separate systems just to see what ZATCA already holds about the taxpayer.</w:t>
      </w:r>
    </w:p>
    <w:p>
      <w:pPr>
        <w:pStyle w:val="ListParagraph"/>
        <w:numPr>
          <w:ilvl w:val="0"/>
          <w:numId w:val="2"/>
        </w:numPr>
        <w:spacing w:after="90" w:line="268"/>
      </w:pPr>
      <w:r>
        <w:rPr>
          <w:b/>
          <w:bCs/>
          <w:color w:val="1B2A4A"/>
          <w:sz w:val="21"/>
          <w:szCs w:val="21"/>
        </w:rPr>
        <w:t xml:space="preserve">Institutional knowledge lives in individual auditors. </w:t>
      </w:r>
      <w:r>
        <w:rPr>
          <w:b w:val="false"/>
          <w:bCs w:val="false"/>
          <w:color w:val="23282E"/>
          <w:sz w:val="21"/>
          <w:szCs w:val="21"/>
        </w:rPr>
        <w:t xml:space="preserve">Regulatory interpretation, sector patterns and lessons learned from past cases are not retrievable from anywhere a system can reach — every auditor re-derives them from experience.</w:t>
      </w:r>
    </w:p>
    <w:p>
      <w:pPr>
        <w:pStyle w:val="Heading1"/>
        <w:pBdr>
          <w:bottom w:val="single" w:color="0E6B57" w:sz="6" w:space="4"/>
        </w:pBdr>
        <w:spacing w:after="160" w:before="420"/>
      </w:pPr>
      <w:r>
        <w:rPr>
          <w:b/>
          <w:bCs/>
          <w:color w:val="1B2A4A"/>
          <w:sz w:val="28"/>
          <w:szCs w:val="28"/>
        </w:rPr>
        <w:t xml:space="preserve">4. Scope vs. Out of Scope</w:t>
      </w:r>
    </w:p>
    <w:p>
      <w:pPr>
        <w:spacing w:after="160" w:line="280"/>
      </w:pPr>
      <w:r>
        <w:rPr>
          <w:i/>
          <w:iCs/>
          <w:color w:val="5B6472"/>
          <w:sz w:val="21"/>
          <w:szCs w:val="21"/>
        </w:rPr>
        <w:t xml:space="preserve">“This demo starts when the taxpayer's documents arrive. It checks them against the request that was sent, then reconciles the standard-rated sales and purchase boxes for a single quarter from the records supplied. Everything below the line is a real part of the problem that this PoC does not attempt.”</w:t>
      </w:r>
    </w:p>
    <w:p>
      <w:pPr>
        <w:pStyle w:val="Heading2"/>
        <w:spacing w:after="100" w:before="260"/>
      </w:pPr>
      <w:r>
        <w:rPr>
          <w:b/>
          <w:bCs/>
          <w:color w:val="0E6B57"/>
          <w:sz w:val="23"/>
          <w:szCs w:val="23"/>
        </w:rPr>
        <w:t xml:space="preserve">In scope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1B2A4A" w:val="clear"/>
            <w:tcMar>
              <w:top w:type="dxa" w:w="90"/>
              <w:left w:type="dxa" w:w="120"/>
              <w:bottom w:type="dxa" w:w="90"/>
              <w:right w:type="dxa" w:w="120"/>
            </w:tcMar>
          </w:tcPr>
          <w:p>
            <w:r>
              <w:rPr>
                <w:b/>
                <w:bCs/>
                <w:color w:val="FFFFFF"/>
                <w:sz w:val="19"/>
                <w:szCs w:val="19"/>
              </w:rPr>
              <w:t xml:space="preserve">Item</w:t>
            </w:r>
          </w:p>
        </w:tc>
        <w:tc>
          <w:tcPr>
            <w:tcW w:type="dxa" w:w="6900"/>
            <w:shd w:fill="1B2A4A" w:val="clear"/>
            <w:tcMar>
              <w:top w:type="dxa" w:w="90"/>
              <w:left w:type="dxa" w:w="120"/>
              <w:bottom w:type="dxa" w:w="90"/>
              <w:right w:type="dxa" w:w="120"/>
            </w:tcMar>
          </w:tcPr>
          <w:p>
            <w:r>
              <w:rPr>
                <w:b/>
                <w:bCs/>
                <w:color w:val="FFFFFF"/>
                <w:sz w:val="19"/>
                <w:szCs w:val="19"/>
              </w:rPr>
              <w:t xml:space="preserve">What it covers</w:t>
            </w:r>
          </w:p>
        </w:tc>
      </w:tr>
      <w:tr>
        <w:tc>
          <w:tcPr>
            <w:tcW w:type="dxa" w:w="2600"/>
            <w:tcMar>
              <w:top w:type="dxa" w:w="90"/>
              <w:left w:type="dxa" w:w="120"/>
              <w:bottom w:type="dxa" w:w="90"/>
              <w:right w:type="dxa" w:w="120"/>
            </w:tcMar>
          </w:tcPr>
          <w:p>
            <w:r>
              <w:rPr>
                <w:b w:val="false"/>
                <w:bCs w:val="false"/>
                <w:color w:val="23282E"/>
                <w:sz w:val="19"/>
                <w:szCs w:val="19"/>
              </w:rPr>
              <w:t xml:space="preserve">Was the response what we asked for</w:t>
            </w:r>
          </w:p>
        </w:tc>
        <w:tc>
          <w:tcPr>
            <w:tcW w:type="dxa" w:w="6900"/>
            <w:tcMar>
              <w:top w:type="dxa" w:w="90"/>
              <w:left w:type="dxa" w:w="120"/>
              <w:bottom w:type="dxa" w:w="90"/>
              <w:right w:type="dxa" w:w="120"/>
            </w:tcMar>
          </w:tcPr>
          <w:p>
            <w:r>
              <w:rPr>
                <w:b w:val="false"/>
                <w:bCs w:val="false"/>
                <w:color w:val="23282E"/>
                <w:sz w:val="19"/>
                <w:szCs w:val="19"/>
              </w:rPr>
              <w:t xml:space="preserve">The auditor's request email becomes a checkable spec; spreadsheets are tested against it for missing items/columns, blank mandatory fields, period coverage, totals that do not foot.</w:t>
            </w:r>
          </w:p>
        </w:tc>
      </w:tr>
      <w:tr>
        <w:tc>
          <w:tcPr>
            <w:tcW w:type="dxa" w:w="2600"/>
            <w:shd w:fill="EFF3F1" w:val="clear"/>
            <w:tcMar>
              <w:top w:type="dxa" w:w="90"/>
              <w:left w:type="dxa" w:w="120"/>
              <w:bottom w:type="dxa" w:w="90"/>
              <w:right w:type="dxa" w:w="120"/>
            </w:tcMar>
          </w:tcPr>
          <w:p>
            <w:r>
              <w:rPr>
                <w:b w:val="false"/>
                <w:bCs w:val="false"/>
                <w:color w:val="23282E"/>
                <w:sz w:val="19"/>
                <w:szCs w:val="19"/>
              </w:rPr>
              <w:t xml:space="preserve">Standard-rated sales (output VAT)</w:t>
            </w:r>
          </w:p>
        </w:tc>
        <w:tc>
          <w:tcPr>
            <w:tcW w:type="dxa" w:w="6900"/>
            <w:shd w:fill="EFF3F1" w:val="clear"/>
            <w:tcMar>
              <w:top w:type="dxa" w:w="90"/>
              <w:left w:type="dxa" w:w="120"/>
              <w:bottom w:type="dxa" w:w="90"/>
              <w:right w:type="dxa" w:w="120"/>
            </w:tcMar>
          </w:tcPr>
          <w:p>
            <w:r>
              <w:rPr>
                <w:b w:val="false"/>
                <w:bCs w:val="false"/>
                <w:color w:val="23282E"/>
                <w:sz w:val="19"/>
                <w:szCs w:val="19"/>
              </w:rPr>
              <w:t xml:space="preserve">Summed from the lines of the taxpayer's own listing that qualify for this box and period. The e-invoice feed is the fallback where nothing was uploaded.</w:t>
            </w:r>
          </w:p>
        </w:tc>
      </w:tr>
      <w:tr>
        <w:tc>
          <w:tcPr>
            <w:tcW w:type="dxa" w:w="2600"/>
            <w:tcMar>
              <w:top w:type="dxa" w:w="90"/>
              <w:left w:type="dxa" w:w="120"/>
              <w:bottom w:type="dxa" w:w="90"/>
              <w:right w:type="dxa" w:w="120"/>
            </w:tcMar>
          </w:tcPr>
          <w:p>
            <w:r>
              <w:rPr>
                <w:b w:val="false"/>
                <w:bCs w:val="false"/>
                <w:color w:val="23282E"/>
                <w:sz w:val="19"/>
                <w:szCs w:val="19"/>
              </w:rPr>
              <w:t xml:space="preserve">Standard-rated purchases (input VAT)</w:t>
            </w:r>
          </w:p>
        </w:tc>
        <w:tc>
          <w:tcPr>
            <w:tcW w:type="dxa" w:w="6900"/>
            <w:tcMar>
              <w:top w:type="dxa" w:w="90"/>
              <w:left w:type="dxa" w:w="120"/>
              <w:bottom w:type="dxa" w:w="90"/>
              <w:right w:type="dxa" w:w="120"/>
            </w:tcMar>
          </w:tcPr>
          <w:p>
            <w:r>
              <w:rPr>
                <w:b w:val="false"/>
                <w:bCs w:val="false"/>
                <w:color w:val="23282E"/>
                <w:sz w:val="19"/>
                <w:szCs w:val="19"/>
              </w:rPr>
              <w:t xml:space="preserve">The same, on the purchase side — documents on which this taxpayer is the buyer.</w:t>
            </w:r>
          </w:p>
        </w:tc>
      </w:tr>
      <w:tr>
        <w:tc>
          <w:tcPr>
            <w:tcW w:type="dxa" w:w="2600"/>
            <w:shd w:fill="EFF3F1" w:val="clear"/>
            <w:tcMar>
              <w:top w:type="dxa" w:w="90"/>
              <w:left w:type="dxa" w:w="120"/>
              <w:bottom w:type="dxa" w:w="90"/>
              <w:right w:type="dxa" w:w="120"/>
            </w:tcMar>
          </w:tcPr>
          <w:p>
            <w:r>
              <w:rPr>
                <w:b w:val="false"/>
                <w:bCs w:val="false"/>
                <w:color w:val="23282E"/>
                <w:sz w:val="19"/>
                <w:szCs w:val="19"/>
              </w:rPr>
              <w:t xml:space="preserve">Four agents over the records received</w:t>
            </w:r>
          </w:p>
        </w:tc>
        <w:tc>
          <w:tcPr>
            <w:tcW w:type="dxa" w:w="6900"/>
            <w:shd w:fill="EFF3F1" w:val="clear"/>
            <w:tcMar>
              <w:top w:type="dxa" w:w="90"/>
              <w:left w:type="dxa" w:w="120"/>
              <w:bottom w:type="dxa" w:w="90"/>
              <w:right w:type="dxa" w:w="120"/>
            </w:tcMar>
          </w:tcPr>
          <w:p>
            <w:r>
              <w:rPr>
                <w:b w:val="false"/>
                <w:bCs w:val="false"/>
                <w:color w:val="23282E"/>
                <w:sz w:val="19"/>
                <w:szCs w:val="19"/>
              </w:rPr>
              <w:t xml:space="preserve">Regulations, Data Entry, Calculation and Evidence &amp; Coverage each propose what is worth testing; a deterministic adjudicator settles every one.</w:t>
            </w:r>
          </w:p>
        </w:tc>
      </w:tr>
      <w:tr>
        <w:tc>
          <w:tcPr>
            <w:tcW w:type="dxa" w:w="2600"/>
            <w:tcMar>
              <w:top w:type="dxa" w:w="90"/>
              <w:left w:type="dxa" w:w="120"/>
              <w:bottom w:type="dxa" w:w="90"/>
              <w:right w:type="dxa" w:w="120"/>
            </w:tcMar>
          </w:tcPr>
          <w:p>
            <w:r>
              <w:rPr>
                <w:b w:val="false"/>
                <w:bCs w:val="false"/>
                <w:color w:val="23282E"/>
                <w:sz w:val="19"/>
                <w:szCs w:val="19"/>
              </w:rPr>
              <w:t xml:space="preserve">One tax period, one return version</w:t>
            </w:r>
          </w:p>
        </w:tc>
        <w:tc>
          <w:tcPr>
            <w:tcW w:type="dxa" w:w="6900"/>
            <w:tcMar>
              <w:top w:type="dxa" w:w="90"/>
              <w:left w:type="dxa" w:w="120"/>
              <w:bottom w:type="dxa" w:w="90"/>
              <w:right w:type="dxa" w:w="120"/>
            </w:tcMar>
          </w:tcPr>
          <w:p>
            <w:r>
              <w:rPr>
                <w:b w:val="false"/>
                <w:bCs w:val="false"/>
                <w:color w:val="23282E"/>
                <w:sz w:val="19"/>
                <w:szCs w:val="19"/>
              </w:rPr>
              <w:t xml:space="preserve">The return currently on file. No amendment history, no rolling re-reconciliation as later documents arrive.</w:t>
            </w:r>
          </w:p>
        </w:tc>
      </w:tr>
      <w:tr>
        <w:tc>
          <w:tcPr>
            <w:tcW w:type="dxa" w:w="2600"/>
            <w:shd w:fill="EFF3F1" w:val="clear"/>
            <w:tcMar>
              <w:top w:type="dxa" w:w="90"/>
              <w:left w:type="dxa" w:w="120"/>
              <w:bottom w:type="dxa" w:w="90"/>
              <w:right w:type="dxa" w:w="120"/>
            </w:tcMar>
          </w:tcPr>
          <w:p>
            <w:r>
              <w:rPr>
                <w:b w:val="false"/>
                <w:bCs w:val="false"/>
                <w:color w:val="23282E"/>
                <w:sz w:val="19"/>
                <w:szCs w:val="19"/>
              </w:rPr>
              <w:t xml:space="preserve">Four wired qualification rules</w:t>
            </w:r>
          </w:p>
        </w:tc>
        <w:tc>
          <w:tcPr>
            <w:tcW w:type="dxa" w:w="6900"/>
            <w:shd w:fill="EFF3F1" w:val="clear"/>
            <w:tcMar>
              <w:top w:type="dxa" w:w="90"/>
              <w:left w:type="dxa" w:w="120"/>
              <w:bottom w:type="dxa" w:w="90"/>
              <w:right w:type="dxa" w:w="120"/>
            </w:tcMar>
          </w:tcPr>
          <w:p>
            <w:r>
              <w:rPr>
                <w:b w:val="false"/>
                <w:bCs w:val="false"/>
                <w:color w:val="23282E"/>
                <w:sz w:val="19"/>
                <w:szCs w:val="19"/>
              </w:rPr>
              <w:t xml:space="preserve">Credit notes on both boxes (COR-01, COR-02) and tax-point straddle timing on both boxes (OUT-07, INP-09), plus auditor-confirmed taxpayer evidence.</w:t>
            </w:r>
          </w:p>
        </w:tc>
      </w:tr>
      <w:tr>
        <w:tc>
          <w:tcPr>
            <w:tcW w:type="dxa" w:w="2600"/>
            <w:tcMar>
              <w:top w:type="dxa" w:w="90"/>
              <w:left w:type="dxa" w:w="120"/>
              <w:bottom w:type="dxa" w:w="90"/>
              <w:right w:type="dxa" w:w="120"/>
            </w:tcMar>
          </w:tcPr>
          <w:p>
            <w:r>
              <w:rPr>
                <w:b w:val="false"/>
                <w:bCs w:val="false"/>
                <w:color w:val="23282E"/>
                <w:sz w:val="19"/>
                <w:szCs w:val="19"/>
              </w:rPr>
              <w:t xml:space="preserve">Materiality and prioritisation</w:t>
            </w:r>
          </w:p>
        </w:tc>
        <w:tc>
          <w:tcPr>
            <w:tcW w:type="dxa" w:w="6900"/>
            <w:tcMar>
              <w:top w:type="dxa" w:w="90"/>
              <w:left w:type="dxa" w:w="120"/>
              <w:bottom w:type="dxa" w:w="90"/>
              <w:right w:type="dxa" w:w="120"/>
            </w:tcMar>
          </w:tcPr>
          <w:p>
            <w:r>
              <w:rPr>
                <w:b w:val="false"/>
                <w:bCs w:val="false"/>
                <w:color w:val="23282E"/>
                <w:sz w:val="19"/>
                <w:szCs w:val="19"/>
              </w:rPr>
              <w:t xml:space="preserve">Unexplained amounts banded against max(SAR 1,000, 0.5% of the box); cases ranked by exposure, deadline, history and quick-win.</w:t>
            </w:r>
          </w:p>
        </w:tc>
      </w:tr>
    </w:tbl>
    <w:p>
      <w:pPr>
        <w:spacing w:before="220"/>
      </w:pPr>
    </w:p>
    <w:p>
      <w:pPr>
        <w:pStyle w:val="Heading2"/>
        <w:spacing w:after="100" w:before="260"/>
      </w:pPr>
      <w:r>
        <w:rPr>
          <w:b/>
          <w:bCs/>
          <w:color w:val="0E6B57"/>
          <w:sz w:val="23"/>
          <w:szCs w:val="23"/>
        </w:rPr>
        <w:t xml:space="preserve">Out of scope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4200"/>
      </w:tblGrid>
      <w:tr>
        <w:tc>
          <w:tcPr>
            <w:tcW w:type="dxa" w:w="2000"/>
            <w:shd w:fill="1B2A4A" w:val="clear"/>
            <w:tcMar>
              <w:top w:type="dxa" w:w="90"/>
              <w:left w:type="dxa" w:w="120"/>
              <w:bottom w:type="dxa" w:w="90"/>
              <w:right w:type="dxa" w:w="120"/>
            </w:tcMar>
          </w:tcPr>
          <w:p>
            <w:r>
              <w:rPr>
                <w:b/>
                <w:bCs/>
                <w:color w:val="FFFFFF"/>
                <w:sz w:val="19"/>
                <w:szCs w:val="19"/>
              </w:rPr>
              <w:t xml:space="preserve">Reason code</w:t>
            </w:r>
          </w:p>
        </w:tc>
        <w:tc>
          <w:tcPr>
            <w:tcW w:type="dxa" w:w="3300"/>
            <w:shd w:fill="1B2A4A" w:val="clear"/>
            <w:tcMar>
              <w:top w:type="dxa" w:w="90"/>
              <w:left w:type="dxa" w:w="120"/>
              <w:bottom w:type="dxa" w:w="90"/>
              <w:right w:type="dxa" w:w="120"/>
            </w:tcMar>
          </w:tcPr>
          <w:p>
            <w:r>
              <w:rPr>
                <w:b/>
                <w:bCs/>
                <w:color w:val="FFFFFF"/>
                <w:sz w:val="19"/>
                <w:szCs w:val="19"/>
              </w:rPr>
              <w:t xml:space="preserve">Item</w:t>
            </w:r>
          </w:p>
        </w:tc>
        <w:tc>
          <w:tcPr>
            <w:tcW w:type="dxa" w:w="4200"/>
            <w:shd w:fill="1B2A4A" w:val="clear"/>
            <w:tcMar>
              <w:top w:type="dxa" w:w="90"/>
              <w:left w:type="dxa" w:w="120"/>
              <w:bottom w:type="dxa" w:w="90"/>
              <w:right w:type="dxa" w:w="120"/>
            </w:tcMar>
          </w:tcPr>
          <w:p>
            <w:r>
              <w:rPr>
                <w:b/>
                <w:bCs/>
                <w:color w:val="FFFFFF"/>
                <w:sz w:val="19"/>
                <w:szCs w:val="19"/>
              </w:rPr>
              <w:t xml:space="preserve">Why it's excluded</w:t>
            </w:r>
          </w:p>
        </w:tc>
      </w:tr>
      <w:tr>
        <w:tc>
          <w:tcPr>
            <w:tcW w:type="dxa" w:w="2000"/>
            <w:tcMar>
              <w:top w:type="dxa" w:w="90"/>
              <w:left w:type="dxa" w:w="120"/>
              <w:bottom w:type="dxa" w:w="90"/>
              <w:right w:type="dxa" w:w="120"/>
            </w:tcMar>
          </w:tcPr>
          <w:p>
            <w:r>
              <w:rPr>
                <w:b w:val="false"/>
                <w:bCs w:val="false"/>
                <w:color w:val="23282E"/>
                <w:sz w:val="19"/>
                <w:szCs w:val="19"/>
              </w:rPr>
              <w:t xml:space="preserve">S04</w:t>
            </w:r>
          </w:p>
        </w:tc>
        <w:tc>
          <w:tcPr>
            <w:tcW w:type="dxa" w:w="3300"/>
            <w:tcMar>
              <w:top w:type="dxa" w:w="90"/>
              <w:left w:type="dxa" w:w="120"/>
              <w:bottom w:type="dxa" w:w="90"/>
              <w:right w:type="dxa" w:w="120"/>
            </w:tcMar>
          </w:tcPr>
          <w:p>
            <w:r>
              <w:rPr>
                <w:b w:val="false"/>
                <w:bCs w:val="false"/>
                <w:color w:val="23282E"/>
                <w:sz w:val="19"/>
                <w:szCs w:val="19"/>
              </w:rPr>
              <w:t xml:space="preserve">Imports of goods</w:t>
            </w:r>
          </w:p>
        </w:tc>
        <w:tc>
          <w:tcPr>
            <w:tcW w:type="dxa" w:w="4200"/>
            <w:tcMar>
              <w:top w:type="dxa" w:w="90"/>
              <w:left w:type="dxa" w:w="120"/>
              <w:bottom w:type="dxa" w:w="90"/>
              <w:right w:type="dxa" w:w="120"/>
            </w:tcMar>
          </w:tcPr>
          <w:p>
            <w:r>
              <w:rPr>
                <w:b w:val="false"/>
                <w:bCs w:val="false"/>
                <w:color w:val="23282E"/>
                <w:sz w:val="19"/>
                <w:szCs w:val="19"/>
              </w:rPr>
              <w:t xml:space="preserve">Settled through customs; no domestic supplier e-invoice to reconstruct from.</w:t>
            </w:r>
          </w:p>
        </w:tc>
      </w:tr>
      <w:tr>
        <w:tc>
          <w:tcPr>
            <w:tcW w:type="dxa" w:w="2000"/>
            <w:shd w:fill="EFF3F1" w:val="clear"/>
            <w:tcMar>
              <w:top w:type="dxa" w:w="90"/>
              <w:left w:type="dxa" w:w="120"/>
              <w:bottom w:type="dxa" w:w="90"/>
              <w:right w:type="dxa" w:w="120"/>
            </w:tcMar>
          </w:tcPr>
          <w:p>
            <w:r>
              <w:rPr>
                <w:b w:val="false"/>
                <w:bCs w:val="false"/>
                <w:color w:val="23282E"/>
                <w:sz w:val="19"/>
                <w:szCs w:val="19"/>
              </w:rPr>
              <w:t xml:space="preserve">S05</w:t>
            </w:r>
          </w:p>
        </w:tc>
        <w:tc>
          <w:tcPr>
            <w:tcW w:type="dxa" w:w="3300"/>
            <w:shd w:fill="EFF3F1" w:val="clear"/>
            <w:tcMar>
              <w:top w:type="dxa" w:w="90"/>
              <w:left w:type="dxa" w:w="120"/>
              <w:bottom w:type="dxa" w:w="90"/>
              <w:right w:type="dxa" w:w="120"/>
            </w:tcMar>
          </w:tcPr>
          <w:p>
            <w:r>
              <w:rPr>
                <w:b w:val="false"/>
                <w:bCs w:val="false"/>
                <w:color w:val="23282E"/>
                <w:sz w:val="19"/>
                <w:szCs w:val="19"/>
              </w:rPr>
              <w:t xml:space="preserve">Reverse charge on imported services</w:t>
            </w:r>
          </w:p>
        </w:tc>
        <w:tc>
          <w:tcPr>
            <w:tcW w:type="dxa" w:w="4200"/>
            <w:shd w:fill="EFF3F1" w:val="clear"/>
            <w:tcMar>
              <w:top w:type="dxa" w:w="90"/>
              <w:left w:type="dxa" w:w="120"/>
              <w:bottom w:type="dxa" w:w="90"/>
              <w:right w:type="dxa" w:w="120"/>
            </w:tcMar>
          </w:tcPr>
          <w:p>
            <w:r>
              <w:rPr>
                <w:b w:val="false"/>
                <w:bCs w:val="false"/>
                <w:color w:val="23282E"/>
                <w:sz w:val="19"/>
                <w:szCs w:val="19"/>
              </w:rPr>
              <w:t xml:space="preserve">No Saudi e-invoice behind the self-assessed legs; the rule family is written but unwired.</w:t>
            </w:r>
          </w:p>
        </w:tc>
      </w:tr>
      <w:tr>
        <w:tc>
          <w:tcPr>
            <w:tcW w:type="dxa" w:w="2000"/>
            <w:tcMar>
              <w:top w:type="dxa" w:w="90"/>
              <w:left w:type="dxa" w:w="120"/>
              <w:bottom w:type="dxa" w:w="90"/>
              <w:right w:type="dxa" w:w="120"/>
            </w:tcMar>
          </w:tcPr>
          <w:p>
            <w:r>
              <w:rPr>
                <w:b w:val="false"/>
                <w:bCs w:val="false"/>
                <w:color w:val="23282E"/>
                <w:sz w:val="19"/>
                <w:szCs w:val="19"/>
              </w:rPr>
              <w:t xml:space="preserve">S01</w:t>
            </w:r>
          </w:p>
        </w:tc>
        <w:tc>
          <w:tcPr>
            <w:tcW w:type="dxa" w:w="3300"/>
            <w:tcMar>
              <w:top w:type="dxa" w:w="90"/>
              <w:left w:type="dxa" w:w="120"/>
              <w:bottom w:type="dxa" w:w="90"/>
              <w:right w:type="dxa" w:w="120"/>
            </w:tcMar>
          </w:tcPr>
          <w:p>
            <w:r>
              <w:rPr>
                <w:b w:val="false"/>
                <w:bCs w:val="false"/>
                <w:color w:val="23282E"/>
                <w:sz w:val="19"/>
                <w:szCs w:val="19"/>
              </w:rPr>
              <w:t xml:space="preserve">Exempt, zero-rated, outside-scope supplies</w:t>
            </w:r>
          </w:p>
        </w:tc>
        <w:tc>
          <w:tcPr>
            <w:tcW w:type="dxa" w:w="4200"/>
            <w:tcMar>
              <w:top w:type="dxa" w:w="90"/>
              <w:left w:type="dxa" w:w="120"/>
              <w:bottom w:type="dxa" w:w="90"/>
              <w:right w:type="dxa" w:w="120"/>
            </w:tcMar>
          </w:tcPr>
          <w:p>
            <w:r>
              <w:rPr>
                <w:b w:val="false"/>
                <w:bCs w:val="false"/>
                <w:color w:val="23282E"/>
                <w:sz w:val="19"/>
                <w:szCs w:val="19"/>
              </w:rPr>
              <w:t xml:space="preserve">Only the standard-rated category is reconstructed.</w:t>
            </w:r>
          </w:p>
        </w:tc>
      </w:tr>
      <w:tr>
        <w:tc>
          <w:tcPr>
            <w:tcW w:type="dxa" w:w="2000"/>
            <w:shd w:fill="EFF3F1" w:val="clear"/>
            <w:tcMar>
              <w:top w:type="dxa" w:w="90"/>
              <w:left w:type="dxa" w:w="120"/>
              <w:bottom w:type="dxa" w:w="90"/>
              <w:right w:type="dxa" w:w="120"/>
            </w:tcMar>
          </w:tcPr>
          <w:p>
            <w:r>
              <w:rPr>
                <w:b w:val="false"/>
                <w:bCs w:val="false"/>
                <w:color w:val="23282E"/>
                <w:sz w:val="19"/>
                <w:szCs w:val="19"/>
              </w:rPr>
              <w:t xml:space="preserve">S06</w:t>
            </w:r>
          </w:p>
        </w:tc>
        <w:tc>
          <w:tcPr>
            <w:tcW w:type="dxa" w:w="3300"/>
            <w:shd w:fill="EFF3F1" w:val="clear"/>
            <w:tcMar>
              <w:top w:type="dxa" w:w="90"/>
              <w:left w:type="dxa" w:w="120"/>
              <w:bottom w:type="dxa" w:w="90"/>
              <w:right w:type="dxa" w:w="120"/>
            </w:tcMar>
          </w:tcPr>
          <w:p>
            <w:r>
              <w:rPr>
                <w:b w:val="false"/>
                <w:bCs w:val="false"/>
                <w:color w:val="23282E"/>
                <w:sz w:val="19"/>
                <w:szCs w:val="19"/>
              </w:rPr>
              <w:t xml:space="preserve">VAT groups and branch identities</w:t>
            </w:r>
          </w:p>
        </w:tc>
        <w:tc>
          <w:tcPr>
            <w:tcW w:type="dxa" w:w="4200"/>
            <w:shd w:fill="EFF3F1" w:val="clear"/>
            <w:tcMar>
              <w:top w:type="dxa" w:w="90"/>
              <w:left w:type="dxa" w:w="120"/>
              <w:bottom w:type="dxa" w:w="90"/>
              <w:right w:type="dxa" w:w="120"/>
            </w:tcMar>
          </w:tcPr>
          <w:p>
            <w:r>
              <w:rPr>
                <w:b w:val="false"/>
                <w:bCs w:val="false"/>
                <w:color w:val="23282E"/>
                <w:sz w:val="19"/>
                <w:szCs w:val="19"/>
              </w:rPr>
              <w:t xml:space="preserve">One taxpayer, one VAT number only.</w:t>
            </w:r>
          </w:p>
        </w:tc>
      </w:tr>
      <w:tr>
        <w:tc>
          <w:tcPr>
            <w:tcW w:type="dxa" w:w="2000"/>
            <w:tcMar>
              <w:top w:type="dxa" w:w="90"/>
              <w:left w:type="dxa" w:w="120"/>
              <w:bottom w:type="dxa" w:w="90"/>
              <w:right w:type="dxa" w:w="120"/>
            </w:tcMar>
          </w:tcPr>
          <w:p>
            <w:r>
              <w:rPr>
                <w:b w:val="false"/>
                <w:bCs w:val="false"/>
                <w:color w:val="23282E"/>
                <w:sz w:val="19"/>
                <w:szCs w:val="19"/>
              </w:rPr>
              <w:t xml:space="preserve">T05</w:t>
            </w:r>
          </w:p>
        </w:tc>
        <w:tc>
          <w:tcPr>
            <w:tcW w:type="dxa" w:w="3300"/>
            <w:tcMar>
              <w:top w:type="dxa" w:w="90"/>
              <w:left w:type="dxa" w:w="120"/>
              <w:bottom w:type="dxa" w:w="90"/>
              <w:right w:type="dxa" w:w="120"/>
            </w:tcMar>
          </w:tcPr>
          <w:p>
            <w:r>
              <w:rPr>
                <w:b w:val="false"/>
                <w:bCs w:val="false"/>
                <w:color w:val="23282E"/>
                <w:sz w:val="19"/>
                <w:szCs w:val="19"/>
              </w:rPr>
              <w:t xml:space="preserve">Cash-accounting taxpayers</w:t>
            </w:r>
          </w:p>
        </w:tc>
        <w:tc>
          <w:tcPr>
            <w:tcW w:type="dxa" w:w="4200"/>
            <w:tcMar>
              <w:top w:type="dxa" w:w="90"/>
              <w:left w:type="dxa" w:w="120"/>
              <w:bottom w:type="dxa" w:w="90"/>
              <w:right w:type="dxa" w:w="120"/>
            </w:tcMar>
          </w:tcPr>
          <w:p>
            <w:r>
              <w:rPr>
                <w:b w:val="false"/>
                <w:bCs w:val="false"/>
                <w:color w:val="23282E"/>
                <w:sz w:val="19"/>
                <w:szCs w:val="19"/>
              </w:rPr>
              <w:t xml:space="preserve">Every case is modelled on the accrual basis.</w:t>
            </w:r>
          </w:p>
        </w:tc>
      </w:tr>
      <w:tr>
        <w:tc>
          <w:tcPr>
            <w:tcW w:type="dxa" w:w="2000"/>
            <w:shd w:fill="EFF3F1" w:val="clear"/>
            <w:tcMar>
              <w:top w:type="dxa" w:w="90"/>
              <w:left w:type="dxa" w:w="120"/>
              <w:bottom w:type="dxa" w:w="90"/>
              <w:right w:type="dxa" w:w="120"/>
            </w:tcMar>
          </w:tcPr>
          <w:p>
            <w:r>
              <w:rPr>
                <w:b w:val="false"/>
                <w:bCs w:val="false"/>
                <w:color w:val="23282E"/>
                <w:sz w:val="19"/>
                <w:szCs w:val="19"/>
              </w:rPr>
              <w:t xml:space="preserve">T08</w:t>
            </w:r>
          </w:p>
        </w:tc>
        <w:tc>
          <w:tcPr>
            <w:tcW w:type="dxa" w:w="3300"/>
            <w:shd w:fill="EFF3F1" w:val="clear"/>
            <w:tcMar>
              <w:top w:type="dxa" w:w="90"/>
              <w:left w:type="dxa" w:w="120"/>
              <w:bottom w:type="dxa" w:w="90"/>
              <w:right w:type="dxa" w:w="120"/>
            </w:tcMar>
          </w:tcPr>
          <w:p>
            <w:r>
              <w:rPr>
                <w:b w:val="false"/>
                <w:bCs w:val="false"/>
                <w:color w:val="23282E"/>
                <w:sz w:val="19"/>
                <w:szCs w:val="19"/>
              </w:rPr>
              <w:t xml:space="preserve">Prior-period corrections / amended returns</w:t>
            </w:r>
          </w:p>
        </w:tc>
        <w:tc>
          <w:tcPr>
            <w:tcW w:type="dxa" w:w="4200"/>
            <w:shd w:fill="EFF3F1" w:val="clear"/>
            <w:tcMar>
              <w:top w:type="dxa" w:w="90"/>
              <w:left w:type="dxa" w:w="120"/>
              <w:bottom w:type="dxa" w:w="90"/>
              <w:right w:type="dxa" w:w="120"/>
            </w:tcMar>
          </w:tcPr>
          <w:p>
            <w:r>
              <w:rPr>
                <w:b w:val="false"/>
                <w:bCs w:val="false"/>
                <w:color w:val="23282E"/>
                <w:sz w:val="19"/>
                <w:szCs w:val="19"/>
              </w:rPr>
              <w:t xml:space="preserve">Not modelled; the version selector is recorded as an assumption only.</w:t>
            </w:r>
          </w:p>
        </w:tc>
      </w:tr>
      <w:tr>
        <w:tc>
          <w:tcPr>
            <w:tcW w:type="dxa" w:w="2000"/>
            <w:tcMar>
              <w:top w:type="dxa" w:w="90"/>
              <w:left w:type="dxa" w:w="120"/>
              <w:bottom w:type="dxa" w:w="90"/>
              <w:right w:type="dxa" w:w="120"/>
            </w:tcMar>
          </w:tcPr>
          <w:p>
            <w:r>
              <w:rPr>
                <w:b w:val="false"/>
                <w:bCs w:val="false"/>
                <w:color w:val="23282E"/>
                <w:sz w:val="19"/>
                <w:szCs w:val="19"/>
              </w:rPr>
              <w:t xml:space="preserve">A03</w:t>
            </w:r>
          </w:p>
        </w:tc>
        <w:tc>
          <w:tcPr>
            <w:tcW w:type="dxa" w:w="3300"/>
            <w:tcMar>
              <w:top w:type="dxa" w:w="90"/>
              <w:left w:type="dxa" w:w="120"/>
              <w:bottom w:type="dxa" w:w="90"/>
              <w:right w:type="dxa" w:w="120"/>
            </w:tcMar>
          </w:tcPr>
          <w:p>
            <w:r>
              <w:rPr>
                <w:b w:val="false"/>
                <w:bCs w:val="false"/>
                <w:color w:val="23282E"/>
                <w:sz w:val="19"/>
                <w:szCs w:val="19"/>
              </w:rPr>
              <w:t xml:space="preserve">Bad-debt relief</w:t>
            </w:r>
          </w:p>
        </w:tc>
        <w:tc>
          <w:tcPr>
            <w:tcW w:type="dxa" w:w="4200"/>
            <w:tcMar>
              <w:top w:type="dxa" w:w="90"/>
              <w:left w:type="dxa" w:w="120"/>
              <w:bottom w:type="dxa" w:w="90"/>
              <w:right w:type="dxa" w:w="120"/>
            </w:tcMar>
          </w:tcPr>
          <w:p>
            <w:r>
              <w:rPr>
                <w:b w:val="false"/>
                <w:bCs w:val="false"/>
                <w:color w:val="23282E"/>
                <w:sz w:val="19"/>
                <w:szCs w:val="19"/>
              </w:rPr>
              <w:t xml:space="preserve">Output-tax adjustments after the original invoice period are out of scope.</w:t>
            </w:r>
          </w:p>
        </w:tc>
      </w:tr>
      <w:tr>
        <w:tc>
          <w:tcPr>
            <w:tcW w:type="dxa" w:w="2000"/>
            <w:shd w:fill="EFF3F1" w:val="clear"/>
            <w:tcMar>
              <w:top w:type="dxa" w:w="90"/>
              <w:left w:type="dxa" w:w="120"/>
              <w:bottom w:type="dxa" w:w="90"/>
              <w:right w:type="dxa" w:w="120"/>
            </w:tcMar>
          </w:tcPr>
          <w:p>
            <w:r>
              <w:rPr>
                <w:b w:val="false"/>
                <w:bCs w:val="false"/>
                <w:color w:val="23282E"/>
                <w:sz w:val="19"/>
                <w:szCs w:val="19"/>
              </w:rPr>
              <w:t xml:space="preserve">A02</w:t>
            </w:r>
          </w:p>
        </w:tc>
        <w:tc>
          <w:tcPr>
            <w:tcW w:type="dxa" w:w="3300"/>
            <w:shd w:fill="EFF3F1" w:val="clear"/>
            <w:tcMar>
              <w:top w:type="dxa" w:w="90"/>
              <w:left w:type="dxa" w:w="120"/>
              <w:bottom w:type="dxa" w:w="90"/>
              <w:right w:type="dxa" w:w="120"/>
            </w:tcMar>
          </w:tcPr>
          <w:p>
            <w:r>
              <w:rPr>
                <w:b w:val="false"/>
                <w:bCs w:val="false"/>
                <w:color w:val="23282E"/>
                <w:sz w:val="19"/>
                <w:szCs w:val="19"/>
              </w:rPr>
              <w:t xml:space="preserve">Partial exemption / blocked input</w:t>
            </w:r>
          </w:p>
        </w:tc>
        <w:tc>
          <w:tcPr>
            <w:tcW w:type="dxa" w:w="4200"/>
            <w:shd w:fill="EFF3F1" w:val="clear"/>
            <w:tcMar>
              <w:top w:type="dxa" w:w="90"/>
              <w:left w:type="dxa" w:w="120"/>
              <w:bottom w:type="dxa" w:w="90"/>
              <w:right w:type="dxa" w:w="120"/>
            </w:tcMar>
          </w:tcPr>
          <w:p>
            <w:r>
              <w:rPr>
                <w:b w:val="false"/>
                <w:bCs w:val="false"/>
                <w:color w:val="23282E"/>
                <w:sz w:val="19"/>
                <w:szCs w:val="19"/>
              </w:rPr>
              <w:t xml:space="preserve">Full recovery is assumed on every purchase invoice.</w:t>
            </w:r>
          </w:p>
        </w:tc>
      </w:tr>
      <w:tr>
        <w:tc>
          <w:tcPr>
            <w:tcW w:type="dxa" w:w="2000"/>
            <w:tcMar>
              <w:top w:type="dxa" w:w="90"/>
              <w:left w:type="dxa" w:w="120"/>
              <w:bottom w:type="dxa" w:w="90"/>
              <w:right w:type="dxa" w:w="120"/>
            </w:tcMar>
          </w:tcPr>
          <w:p>
            <w:r>
              <w:rPr>
                <w:b w:val="false"/>
                <w:bCs w:val="false"/>
                <w:color w:val="23282E"/>
                <w:sz w:val="19"/>
                <w:szCs w:val="19"/>
              </w:rPr>
              <w:t xml:space="preserve">D02</w:t>
            </w:r>
          </w:p>
        </w:tc>
        <w:tc>
          <w:tcPr>
            <w:tcW w:type="dxa" w:w="3300"/>
            <w:tcMar>
              <w:top w:type="dxa" w:w="90"/>
              <w:left w:type="dxa" w:w="120"/>
              <w:bottom w:type="dxa" w:w="90"/>
              <w:right w:type="dxa" w:w="120"/>
            </w:tcMar>
          </w:tcPr>
          <w:p>
            <w:r>
              <w:rPr>
                <w:b w:val="false"/>
                <w:bCs w:val="false"/>
                <w:color w:val="23282E"/>
                <w:sz w:val="19"/>
                <w:szCs w:val="19"/>
              </w:rPr>
              <w:t xml:space="preserve">Summary invoices / B2C aggregation</w:t>
            </w:r>
          </w:p>
        </w:tc>
        <w:tc>
          <w:tcPr>
            <w:tcW w:type="dxa" w:w="4200"/>
            <w:tcMar>
              <w:top w:type="dxa" w:w="90"/>
              <w:left w:type="dxa" w:w="120"/>
              <w:bottom w:type="dxa" w:w="90"/>
              <w:right w:type="dxa" w:w="120"/>
            </w:tcMar>
          </w:tcPr>
          <w:p>
            <w:r>
              <w:rPr>
                <w:b w:val="false"/>
                <w:bCs w:val="false"/>
                <w:color w:val="23282E"/>
                <w:sz w:val="19"/>
                <w:szCs w:val="19"/>
              </w:rPr>
              <w:t xml:space="preserve">Reconciliation is document-level only; no daily/store/POS batch tier.</w:t>
            </w:r>
          </w:p>
        </w:tc>
      </w:tr>
      <w:tr>
        <w:tc>
          <w:tcPr>
            <w:tcW w:type="dxa" w:w="2000"/>
            <w:shd w:fill="EFF3F1" w:val="clear"/>
            <w:tcMar>
              <w:top w:type="dxa" w:w="90"/>
              <w:left w:type="dxa" w:w="120"/>
              <w:bottom w:type="dxa" w:w="90"/>
              <w:right w:type="dxa" w:w="120"/>
            </w:tcMar>
          </w:tcPr>
          <w:p>
            <w:r>
              <w:rPr>
                <w:b w:val="false"/>
                <w:bCs w:val="false"/>
                <w:color w:val="23282E"/>
                <w:sz w:val="19"/>
                <w:szCs w:val="19"/>
              </w:rPr>
              <w:t xml:space="preserve">A07</w:t>
            </w:r>
          </w:p>
        </w:tc>
        <w:tc>
          <w:tcPr>
            <w:tcW w:type="dxa" w:w="3300"/>
            <w:shd w:fill="EFF3F1" w:val="clear"/>
            <w:tcMar>
              <w:top w:type="dxa" w:w="90"/>
              <w:left w:type="dxa" w:w="120"/>
              <w:bottom w:type="dxa" w:w="90"/>
              <w:right w:type="dxa" w:w="120"/>
            </w:tcMar>
          </w:tcPr>
          <w:p>
            <w:r>
              <w:rPr>
                <w:b w:val="false"/>
                <w:bCs w:val="false"/>
                <w:color w:val="23282E"/>
                <w:sz w:val="19"/>
                <w:szCs w:val="19"/>
              </w:rPr>
              <w:t xml:space="preserve">Rounding and currency effects</w:t>
            </w:r>
          </w:p>
        </w:tc>
        <w:tc>
          <w:tcPr>
            <w:tcW w:type="dxa" w:w="4200"/>
            <w:shd w:fill="EFF3F1" w:val="clear"/>
            <w:tcMar>
              <w:top w:type="dxa" w:w="90"/>
              <w:left w:type="dxa" w:w="120"/>
              <w:bottom w:type="dxa" w:w="90"/>
              <w:right w:type="dxa" w:w="120"/>
            </w:tcMar>
          </w:tcPr>
          <w:p>
            <w:r>
              <w:rPr>
                <w:b w:val="false"/>
                <w:bCs w:val="false"/>
                <w:color w:val="23282E"/>
                <w:sz w:val="19"/>
                <w:szCs w:val="19"/>
              </w:rPr>
              <w:t xml:space="preserve">All amounts SAR, tax-exclusive; no line- vs invoice-level tolerance model.</w:t>
            </w:r>
          </w:p>
        </w:tc>
      </w:tr>
      <w:tr>
        <w:tc>
          <w:tcPr>
            <w:tcW w:type="dxa" w:w="2000"/>
            <w:tcMar>
              <w:top w:type="dxa" w:w="90"/>
              <w:left w:type="dxa" w:w="120"/>
              <w:bottom w:type="dxa" w:w="90"/>
              <w:right w:type="dxa" w:w="120"/>
            </w:tcMar>
          </w:tcPr>
          <w:p>
            <w:r>
              <w:rPr>
                <w:b w:val="false"/>
                <w:bCs w:val="false"/>
                <w:color w:val="23282E"/>
                <w:sz w:val="19"/>
                <w:szCs w:val="19"/>
              </w:rPr>
              <w:t xml:space="preserve">R08</w:t>
            </w:r>
          </w:p>
        </w:tc>
        <w:tc>
          <w:tcPr>
            <w:tcW w:type="dxa" w:w="3300"/>
            <w:tcMar>
              <w:top w:type="dxa" w:w="90"/>
              <w:left w:type="dxa" w:w="120"/>
              <w:bottom w:type="dxa" w:w="90"/>
              <w:right w:type="dxa" w:w="120"/>
            </w:tcMar>
          </w:tcPr>
          <w:p>
            <w:r>
              <w:rPr>
                <w:b w:val="false"/>
                <w:bCs w:val="false"/>
                <w:color w:val="23282E"/>
                <w:sz w:val="19"/>
                <w:szCs w:val="19"/>
              </w:rPr>
              <w:t xml:space="preserve">Buyer-side supplier matching</w:t>
            </w:r>
          </w:p>
        </w:tc>
        <w:tc>
          <w:tcPr>
            <w:tcW w:type="dxa" w:w="4200"/>
            <w:tcMar>
              <w:top w:type="dxa" w:w="90"/>
              <w:left w:type="dxa" w:w="120"/>
              <w:bottom w:type="dxa" w:w="90"/>
              <w:right w:type="dxa" w:w="120"/>
            </w:tcMar>
          </w:tcPr>
          <w:p>
            <w:r>
              <w:rPr>
                <w:b w:val="false"/>
                <w:bCs w:val="false"/>
                <w:color w:val="23282E"/>
                <w:sz w:val="19"/>
                <w:szCs w:val="19"/>
              </w:rPr>
              <w:t xml:space="preserve">Input VAT is not cross-checked against the supplier's own outward e-invoices.</w:t>
            </w:r>
          </w:p>
        </w:tc>
      </w:tr>
      <w:tr>
        <w:tc>
          <w:tcPr>
            <w:tcW w:type="dxa" w:w="2000"/>
            <w:shd w:fill="EFF3F1" w:val="clear"/>
            <w:tcMar>
              <w:top w:type="dxa" w:w="90"/>
              <w:left w:type="dxa" w:w="120"/>
              <w:bottom w:type="dxa" w:w="90"/>
              <w:right w:type="dxa" w:w="120"/>
            </w:tcMar>
          </w:tcPr>
          <w:p>
            <w:r>
              <w:rPr>
                <w:b w:val="false"/>
                <w:bCs w:val="false"/>
                <w:color w:val="23282E"/>
                <w:sz w:val="19"/>
                <w:szCs w:val="19"/>
              </w:rPr>
              <w:t xml:space="preserve">T03</w:t>
            </w:r>
          </w:p>
        </w:tc>
        <w:tc>
          <w:tcPr>
            <w:tcW w:type="dxa" w:w="3300"/>
            <w:shd w:fill="EFF3F1" w:val="clear"/>
            <w:tcMar>
              <w:top w:type="dxa" w:w="90"/>
              <w:left w:type="dxa" w:w="120"/>
              <w:bottom w:type="dxa" w:w="90"/>
              <w:right w:type="dxa" w:w="120"/>
            </w:tcMar>
          </w:tcPr>
          <w:p>
            <w:r>
              <w:rPr>
                <w:b w:val="false"/>
                <w:bCs w:val="false"/>
                <w:color w:val="23282E"/>
                <w:sz w:val="19"/>
                <w:szCs w:val="19"/>
              </w:rPr>
              <w:t xml:space="preserve">Late arrivals / rolling reconciliation</w:t>
            </w:r>
          </w:p>
        </w:tc>
        <w:tc>
          <w:tcPr>
            <w:tcW w:type="dxa" w:w="4200"/>
            <w:shd w:fill="EFF3F1" w:val="clear"/>
            <w:tcMar>
              <w:top w:type="dxa" w:w="90"/>
              <w:left w:type="dxa" w:w="120"/>
              <w:bottom w:type="dxa" w:w="90"/>
              <w:right w:type="dxa" w:w="120"/>
            </w:tcMar>
          </w:tcPr>
          <w:p>
            <w:r>
              <w:rPr>
                <w:b w:val="false"/>
                <w:bCs w:val="false"/>
                <w:color w:val="23282E"/>
                <w:sz w:val="19"/>
                <w:szCs w:val="19"/>
              </w:rPr>
              <w:t xml:space="preserve">A single closed-period pass; documents cleared after filing do not reopen it.</w:t>
            </w:r>
          </w:p>
        </w:tc>
      </w:tr>
    </w:tbl>
    <w:p>
      <w:pPr>
        <w:pStyle w:val="Heading1"/>
        <w:pBdr>
          <w:bottom w:val="single" w:color="0E6B57" w:sz="6" w:space="4"/>
        </w:pBdr>
        <w:spacing w:after="160" w:before="420"/>
      </w:pPr>
      <w:r>
        <w:rPr>
          <w:b/>
          <w:bCs/>
          <w:color w:val="1B2A4A"/>
          <w:sz w:val="28"/>
          <w:szCs w:val="28"/>
        </w:rPr>
        <w:t xml:space="preserve">5. Assumptions</w:t>
      </w:r>
    </w:p>
    <w:p>
      <w:pPr>
        <w:pStyle w:val="ListParagraph"/>
        <w:numPr>
          <w:ilvl w:val="0"/>
          <w:numId w:val="2"/>
        </w:numPr>
        <w:spacing w:after="90" w:line="268"/>
      </w:pPr>
      <w:r>
        <w:rPr>
          <w:b/>
          <w:bCs/>
          <w:color w:val="1B2A4A"/>
          <w:sz w:val="21"/>
          <w:szCs w:val="21"/>
        </w:rPr>
        <w:t xml:space="preserve">Tax point ≈ invoice issue date. </w:t>
      </w:r>
      <w:r>
        <w:rPr>
          <w:b w:val="false"/>
          <w:bCs w:val="false"/>
          <w:color w:val="23282E"/>
          <w:sz w:val="21"/>
          <w:szCs w:val="21"/>
        </w:rPr>
        <w:t xml:space="preserve">Delivery date is used only for the period-straddle test. This is the single most consequential simplification in the engine: the true rule is the earliest of payment, invoice, or contractual due date, with special cases for continuous supply — treated in Section 11.</w:t>
      </w:r>
    </w:p>
    <w:p>
      <w:pPr>
        <w:pStyle w:val="ListParagraph"/>
        <w:numPr>
          <w:ilvl w:val="0"/>
          <w:numId w:val="2"/>
        </w:numPr>
        <w:spacing w:after="90" w:line="268"/>
      </w:pPr>
      <w:r>
        <w:rPr>
          <w:b/>
          <w:bCs/>
          <w:color w:val="1B2A4A"/>
          <w:sz w:val="21"/>
          <w:szCs w:val="21"/>
        </w:rPr>
        <w:t xml:space="preserve">Single taxpayer, single period, single return version. </w:t>
      </w:r>
      <w:r>
        <w:rPr>
          <w:b w:val="false"/>
          <w:bCs w:val="false"/>
          <w:color w:val="23282E"/>
          <w:sz w:val="21"/>
          <w:szCs w:val="21"/>
        </w:rPr>
        <w:t xml:space="preserve">No group representative, no branch structure, no amendment history, no rolling re-reconciliation as later documents arrive.</w:t>
      </w:r>
    </w:p>
    <w:p>
      <w:pPr>
        <w:pStyle w:val="ListParagraph"/>
        <w:numPr>
          <w:ilvl w:val="0"/>
          <w:numId w:val="2"/>
        </w:numPr>
        <w:spacing w:after="90" w:line="268"/>
      </w:pPr>
      <w:r>
        <w:rPr>
          <w:b/>
          <w:bCs/>
          <w:color w:val="1B2A4A"/>
          <w:sz w:val="21"/>
          <w:szCs w:val="21"/>
        </w:rPr>
        <w:t xml:space="preserve">Full input VAT recovery assumed. </w:t>
      </w:r>
      <w:r>
        <w:rPr>
          <w:b w:val="false"/>
          <w:bCs w:val="false"/>
          <w:color w:val="23282E"/>
          <w:sz w:val="21"/>
          <w:szCs w:val="21"/>
        </w:rPr>
        <w:t xml:space="preserve">Beyond the Regulations agent's explicit blocked-expense-category check, no partial-exemption or blocked-input modelling is applied.</w:t>
      </w:r>
    </w:p>
    <w:p>
      <w:pPr>
        <w:pStyle w:val="ListParagraph"/>
        <w:numPr>
          <w:ilvl w:val="0"/>
          <w:numId w:val="2"/>
        </w:numPr>
        <w:spacing w:after="90" w:line="268"/>
      </w:pPr>
      <w:r>
        <w:rPr>
          <w:b/>
          <w:bCs/>
          <w:color w:val="1B2A4A"/>
          <w:sz w:val="21"/>
          <w:szCs w:val="21"/>
        </w:rPr>
        <w:t xml:space="preserve">Accrual basis throughout. </w:t>
      </w:r>
      <w:r>
        <w:rPr>
          <w:b w:val="false"/>
          <w:bCs w:val="false"/>
          <w:color w:val="23282E"/>
          <w:sz w:val="21"/>
          <w:szCs w:val="21"/>
        </w:rPr>
        <w:t xml:space="preserve">Every demo taxpayer files on the accrual basis, so payment-date timing never itself moves a supply between periods.</w:t>
      </w:r>
    </w:p>
    <w:p>
      <w:pPr>
        <w:pStyle w:val="ListParagraph"/>
        <w:numPr>
          <w:ilvl w:val="0"/>
          <w:numId w:val="2"/>
        </w:numPr>
        <w:spacing w:after="90" w:line="268"/>
      </w:pPr>
      <w:r>
        <w:rPr>
          <w:b/>
          <w:bCs/>
          <w:color w:val="1B2A4A"/>
          <w:sz w:val="21"/>
          <w:szCs w:val="21"/>
        </w:rPr>
        <w:t xml:space="preserve">SAR, tax-exclusive, no rounding tolerance. </w:t>
      </w:r>
      <w:r>
        <w:rPr>
          <w:b w:val="false"/>
          <w:bCs w:val="false"/>
          <w:color w:val="23282E"/>
          <w:sz w:val="21"/>
          <w:szCs w:val="21"/>
        </w:rPr>
        <w:t xml:space="preserve">No line- versus invoice-level rounding model is applied.</w:t>
      </w:r>
    </w:p>
    <w:p>
      <w:pPr>
        <w:pStyle w:val="ListParagraph"/>
        <w:numPr>
          <w:ilvl w:val="0"/>
          <w:numId w:val="2"/>
        </w:numPr>
        <w:spacing w:after="90" w:line="268"/>
      </w:pPr>
      <w:r>
        <w:rPr>
          <w:b/>
          <w:bCs/>
          <w:color w:val="1B2A4A"/>
          <w:sz w:val="21"/>
          <w:szCs w:val="21"/>
        </w:rPr>
        <w:t xml:space="preserve">Synthetic data only. </w:t>
      </w:r>
      <w:r>
        <w:rPr>
          <w:b w:val="false"/>
          <w:bCs w:val="false"/>
          <w:color w:val="23282E"/>
          <w:sz w:val="21"/>
          <w:szCs w:val="21"/>
        </w:rPr>
        <w:t xml:space="preserve">Every taxpayer, case and document in the running system is fabricated for the demo. The hosted model is only called when the data is confirmed synthetic; the real taxpayer name is pseudonymised (“Taxpayer A”) before it ever reaches the model, and restored only for on-screen display.</w:t>
      </w:r>
    </w:p>
    <w:p>
      <w:pPr>
        <w:pStyle w:val="Heading1"/>
        <w:pBdr>
          <w:bottom w:val="single" w:color="0E6B57" w:sz="6" w:space="4"/>
        </w:pBdr>
        <w:spacing w:after="160" w:before="420"/>
      </w:pPr>
      <w:r>
        <w:rPr>
          <w:b/>
          <w:bCs/>
          <w:color w:val="1B2A4A"/>
          <w:sz w:val="28"/>
          <w:szCs w:val="28"/>
        </w:rPr>
        <w:t xml:space="preserve">6. Illustrative Taxpayer Journey</w:t>
      </w:r>
    </w:p>
    <w:p>
      <w:pPr>
        <w:spacing w:after="140" w:line="276"/>
      </w:pPr>
      <w:r>
        <w:rPr>
          <w:color w:val="23282E"/>
          <w:sz w:val="21"/>
          <w:szCs w:val="21"/>
        </w:rPr>
        <w:t xml:space="preserve">A case moves through five stages — Intake, Planning, Correspondence, Review, Closure. Three properties hold throughout: the stage is always derived from the case's own data, never stored as a status column that can fall out of step; every gate is a human decision, the machine only reports where the case is and what it is waiting for; and “waiting on the taxpayer” is a first-class state, distinguishable from “waiting on the auditor.” The walk below follows a single illustrative case, “Taxpayer A, 2025 Q1.”</w:t>
      </w:r>
    </w:p>
    <w:p>
      <w:pPr>
        <w:pStyle w:val="ListParagraph"/>
        <w:numPr>
          <w:ilvl w:val="0"/>
          <w:numId w:val="2"/>
        </w:numPr>
        <w:spacing w:after="90" w:line="268"/>
      </w:pPr>
      <w:r>
        <w:rPr>
          <w:b/>
          <w:bCs/>
          <w:color w:val="1B2A4A"/>
          <w:sz w:val="21"/>
          <w:szCs w:val="21"/>
        </w:rPr>
        <w:t xml:space="preserve">1 · Intake. </w:t>
      </w:r>
      <w:r>
        <w:rPr>
          <w:b w:val="false"/>
          <w:bCs w:val="false"/>
          <w:color w:val="23282E"/>
          <w:sz w:val="21"/>
          <w:szCs w:val="21"/>
        </w:rPr>
        <w:t xml:space="preserve">The case is referred; the dossier — returns, e-invoicing, prior audits, registered economic activities — is assembled from ZATCA's own systems in one call. Done automatically; nothing here waits on a person.</w:t>
      </w:r>
    </w:p>
    <w:p>
      <w:pPr>
        <w:pStyle w:val="ListParagraph"/>
        <w:numPr>
          <w:ilvl w:val="0"/>
          <w:numId w:val="2"/>
        </w:numPr>
        <w:spacing w:after="90" w:line="268"/>
      </w:pPr>
      <w:r>
        <w:rPr>
          <w:b/>
          <w:bCs/>
          <w:color w:val="1B2A4A"/>
          <w:sz w:val="21"/>
          <w:szCs w:val="21"/>
        </w:rPr>
        <w:t xml:space="preserve">2 · Planning. </w:t>
      </w:r>
      <w:r>
        <w:rPr>
          <w:b w:val="false"/>
          <w:bCs w:val="false"/>
          <w:color w:val="23282E"/>
          <w:sz w:val="21"/>
          <w:szCs w:val="21"/>
        </w:rPr>
        <w:t xml:space="preserve">Under the current scope this stage is folded into Intake: the auditor's own request email becomes the checkable specification directly. (The standalone planning stage — precedent retrieval, risk-engine ingestion — is dormant; see Section 11.)</w:t>
      </w:r>
    </w:p>
    <w:p>
      <w:pPr>
        <w:pStyle w:val="ListParagraph"/>
        <w:numPr>
          <w:ilvl w:val="0"/>
          <w:numId w:val="2"/>
        </w:numPr>
        <w:spacing w:after="90" w:line="268"/>
      </w:pPr>
      <w:r>
        <w:rPr>
          <w:b/>
          <w:bCs/>
          <w:color w:val="1B2A4A"/>
          <w:sz w:val="21"/>
          <w:szCs w:val="21"/>
        </w:rPr>
        <w:t xml:space="preserve">3 · Correspondence. </w:t>
      </w:r>
      <w:r>
        <w:rPr>
          <w:b w:val="false"/>
          <w:bCs w:val="false"/>
          <w:color w:val="23282E"/>
          <w:sz w:val="21"/>
          <w:szCs w:val="21"/>
        </w:rPr>
        <w:t xml:space="preserve">The received spreadsheets are checked against the specification: missing items, missing columns, blank mandatory fields, totals that do not foot. Where gaps exist, a chase email is drafted from the gaps alone and issued. The case sits in “waiting” for as long as the taxpayer takes — weeks to months — and every new document triggers an automatic recheck, not a manual one.</w:t>
      </w:r>
    </w:p>
    <w:p>
      <w:pPr>
        <w:pStyle w:val="ListParagraph"/>
        <w:numPr>
          <w:ilvl w:val="0"/>
          <w:numId w:val="2"/>
        </w:numPr>
        <w:spacing w:after="90" w:line="268"/>
      </w:pPr>
      <w:r>
        <w:rPr>
          <w:b/>
          <w:bCs/>
          <w:color w:val="1B2A4A"/>
          <w:sz w:val="21"/>
          <w:szCs w:val="21"/>
        </w:rPr>
        <w:t xml:space="preserve">4 · Review. </w:t>
      </w:r>
      <w:r>
        <w:rPr>
          <w:b w:val="false"/>
          <w:bCs w:val="false"/>
          <w:color w:val="23282E"/>
          <w:sz w:val="21"/>
          <w:szCs w:val="21"/>
        </w:rPr>
        <w:t xml:space="preserve">Once the evidence is as complete as it will get, every line in each box is walked through the qualification rules and summed into an expected figure, then compared to declared. If the difference is within materiality, the case is done. If not, the four agents propose hypotheses, a deterministic adjudicator settles each one against the engine's own data, a challenger tests whether the leading hypothesis really accounts for the whole gap, and a conclusion is reached for the auditor to validate.</w:t>
      </w:r>
    </w:p>
    <w:p>
      <w:pPr>
        <w:pStyle w:val="ListParagraph"/>
        <w:numPr>
          <w:ilvl w:val="0"/>
          <w:numId w:val="2"/>
        </w:numPr>
        <w:spacing w:after="90" w:line="268"/>
      </w:pPr>
      <w:r>
        <w:rPr>
          <w:b/>
          <w:bCs/>
          <w:color w:val="1B2A4A"/>
          <w:sz w:val="21"/>
          <w:szCs w:val="21"/>
        </w:rPr>
        <w:t xml:space="preserve">5 · Closure. </w:t>
      </w:r>
      <w:r>
        <w:rPr>
          <w:b w:val="false"/>
          <w:bCs w:val="false"/>
          <w:color w:val="23282E"/>
          <w:sz w:val="21"/>
          <w:szCs w:val="21"/>
        </w:rPr>
        <w:t xml:space="preserve">The audit report and the taxpayer verdict letter are drafted section by section, in the Authority's own template order, with every number a placeholder token the engine fills in verbatim. The auditor reviews and approves.</w:t>
      </w:r>
    </w:p>
    <w:p>
      <w:pPr>
        <w:pStyle w:val="Heading1"/>
        <w:pBdr>
          <w:bottom w:val="single" w:color="0E6B57" w:sz="6" w:space="4"/>
        </w:pBdr>
        <w:spacing w:after="160" w:before="420"/>
      </w:pPr>
      <w:r>
        <w:rPr>
          <w:b/>
          <w:bCs/>
          <w:color w:val="1B2A4A"/>
          <w:sz w:val="28"/>
          <w:szCs w:val="28"/>
        </w:rPr>
        <w:t xml:space="preserve">7. Status of the Taxpayer Journey</w:t>
      </w:r>
    </w:p>
    <w:p>
      <w:pPr>
        <w:spacing w:after="140" w:line="276"/>
      </w:pPr>
      <w:r>
        <w:rPr>
          <w:color w:val="23282E"/>
          <w:sz w:val="21"/>
          <w:szCs w:val="21"/>
        </w:rPr>
        <w:t xml:space="preserve">Which of the five stages are functioning under the current scope, and which are deliberately dormant: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6000"/>
      </w:tblGrid>
      <w:tr>
        <w:tc>
          <w:tcPr>
            <w:tcW w:type="dxa" w:w="1900"/>
            <w:shd w:fill="1B2A4A" w:val="clear"/>
            <w:tcMar>
              <w:top w:type="dxa" w:w="90"/>
              <w:left w:type="dxa" w:w="120"/>
              <w:bottom w:type="dxa" w:w="90"/>
              <w:right w:type="dxa" w:w="120"/>
            </w:tcMar>
          </w:tcPr>
          <w:p>
            <w:r>
              <w:rPr>
                <w:b/>
                <w:bCs/>
                <w:color w:val="FFFFFF"/>
                <w:sz w:val="19"/>
                <w:szCs w:val="19"/>
              </w:rPr>
              <w:t xml:space="preserve">Stage</w:t>
            </w:r>
          </w:p>
        </w:tc>
        <w:tc>
          <w:tcPr>
            <w:tcW w:type="dxa" w:w="1600"/>
            <w:shd w:fill="1B2A4A" w:val="clear"/>
            <w:tcMar>
              <w:top w:type="dxa" w:w="90"/>
              <w:left w:type="dxa" w:w="120"/>
              <w:bottom w:type="dxa" w:w="90"/>
              <w:right w:type="dxa" w:w="120"/>
            </w:tcMar>
          </w:tcPr>
          <w:p>
            <w:r>
              <w:rPr>
                <w:b/>
                <w:bCs/>
                <w:color w:val="FFFFFF"/>
                <w:sz w:val="19"/>
                <w:szCs w:val="19"/>
              </w:rPr>
              <w:t xml:space="preserve">Status</w:t>
            </w:r>
          </w:p>
        </w:tc>
        <w:tc>
          <w:tcPr>
            <w:tcW w:type="dxa" w:w="6000"/>
            <w:shd w:fill="1B2A4A" w:val="clear"/>
            <w:tcMar>
              <w:top w:type="dxa" w:w="90"/>
              <w:left w:type="dxa" w:w="120"/>
              <w:bottom w:type="dxa" w:w="90"/>
              <w:right w:type="dxa" w:w="120"/>
            </w:tcMar>
          </w:tcPr>
          <w:p>
            <w:r>
              <w:rPr>
                <w:b/>
                <w:bCs/>
                <w:color w:val="FFFFFF"/>
                <w:sz w:val="19"/>
                <w:szCs w:val="19"/>
              </w:rPr>
              <w:t xml:space="preserve">Note</w:t>
            </w:r>
          </w:p>
        </w:tc>
      </w:tr>
      <w:tr>
        <w:tc>
          <w:tcPr>
            <w:tcW w:type="dxa" w:w="1900"/>
            <w:tcMar>
              <w:top w:type="dxa" w:w="90"/>
              <w:left w:type="dxa" w:w="120"/>
              <w:bottom w:type="dxa" w:w="90"/>
              <w:right w:type="dxa" w:w="120"/>
            </w:tcMar>
          </w:tcPr>
          <w:p>
            <w:r>
              <w:rPr>
                <w:b w:val="false"/>
                <w:bCs w:val="false"/>
                <w:color w:val="23282E"/>
                <w:sz w:val="19"/>
                <w:szCs w:val="19"/>
              </w:rPr>
              <w:t xml:space="preserve">Intake</w:t>
            </w:r>
          </w:p>
        </w:tc>
        <w:tc>
          <w:tcPr>
            <w:tcW w:type="dxa" w:w="1600"/>
            <w:tcMar>
              <w:top w:type="dxa" w:w="90"/>
              <w:left w:type="dxa" w:w="120"/>
              <w:bottom w:type="dxa" w:w="90"/>
              <w:right w:type="dxa" w:w="120"/>
            </w:tcMar>
          </w:tcPr>
          <w:p>
            <w:r>
              <w:rPr>
                <w:b w:val="false"/>
                <w:bCs w:val="false"/>
                <w:color w:val="23282E"/>
                <w:sz w:val="19"/>
                <w:szCs w:val="19"/>
              </w:rPr>
              <w:t xml:space="preserve">Live</w:t>
            </w:r>
          </w:p>
        </w:tc>
        <w:tc>
          <w:tcPr>
            <w:tcW w:type="dxa" w:w="6000"/>
            <w:tcMar>
              <w:top w:type="dxa" w:w="90"/>
              <w:left w:type="dxa" w:w="120"/>
              <w:bottom w:type="dxa" w:w="90"/>
              <w:right w:type="dxa" w:w="120"/>
            </w:tcMar>
          </w:tcPr>
          <w:p>
            <w:r>
              <w:rPr>
                <w:b w:val="false"/>
                <w:bCs w:val="false"/>
                <w:color w:val="23282E"/>
                <w:sz w:val="19"/>
                <w:szCs w:val="19"/>
              </w:rPr>
              <w:t xml:space="preserve">Dossier assembly and request-email-to-spec parsing both run today.</w:t>
            </w:r>
          </w:p>
        </w:tc>
      </w:tr>
      <w:tr>
        <w:tc>
          <w:tcPr>
            <w:tcW w:type="dxa" w:w="1900"/>
            <w:shd w:fill="EFF3F1" w:val="clear"/>
            <w:tcMar>
              <w:top w:type="dxa" w:w="90"/>
              <w:left w:type="dxa" w:w="120"/>
              <w:bottom w:type="dxa" w:w="90"/>
              <w:right w:type="dxa" w:w="120"/>
            </w:tcMar>
          </w:tcPr>
          <w:p>
            <w:r>
              <w:rPr>
                <w:b w:val="false"/>
                <w:bCs w:val="false"/>
                <w:color w:val="23282E"/>
                <w:sz w:val="19"/>
                <w:szCs w:val="19"/>
              </w:rPr>
              <w:t xml:space="preserve">Planning</w:t>
            </w:r>
          </w:p>
        </w:tc>
        <w:tc>
          <w:tcPr>
            <w:tcW w:type="dxa" w:w="1600"/>
            <w:shd w:fill="EFF3F1" w:val="clear"/>
            <w:tcMar>
              <w:top w:type="dxa" w:w="90"/>
              <w:left w:type="dxa" w:w="120"/>
              <w:bottom w:type="dxa" w:w="90"/>
              <w:right w:type="dxa" w:w="120"/>
            </w:tcMar>
          </w:tcPr>
          <w:p>
            <w:r>
              <w:rPr>
                <w:b w:val="false"/>
                <w:bCs w:val="false"/>
                <w:color w:val="23282E"/>
                <w:sz w:val="19"/>
                <w:szCs w:val="19"/>
              </w:rPr>
              <w:t xml:space="preserve">Dormant</w:t>
            </w:r>
          </w:p>
        </w:tc>
        <w:tc>
          <w:tcPr>
            <w:tcW w:type="dxa" w:w="6000"/>
            <w:shd w:fill="EFF3F1" w:val="clear"/>
            <w:tcMar>
              <w:top w:type="dxa" w:w="90"/>
              <w:left w:type="dxa" w:w="120"/>
              <w:bottom w:type="dxa" w:w="90"/>
              <w:right w:type="dxa" w:w="120"/>
            </w:tcMar>
          </w:tcPr>
          <w:p>
            <w:r>
              <w:rPr>
                <w:b w:val="false"/>
                <w:bCs w:val="false"/>
                <w:color w:val="23282E"/>
                <w:sz w:val="19"/>
                <w:szCs w:val="19"/>
              </w:rPr>
              <w:t xml:space="preserve">The standalone planning stage (precedent retrieval, risk-engine ingestion, the request planner) is kept and tested, not deleted — the current build starts directly from the auditor's own request instead.</w:t>
            </w:r>
          </w:p>
        </w:tc>
      </w:tr>
      <w:tr>
        <w:tc>
          <w:tcPr>
            <w:tcW w:type="dxa" w:w="1900"/>
            <w:tcMar>
              <w:top w:type="dxa" w:w="90"/>
              <w:left w:type="dxa" w:w="120"/>
              <w:bottom w:type="dxa" w:w="90"/>
              <w:right w:type="dxa" w:w="120"/>
            </w:tcMar>
          </w:tcPr>
          <w:p>
            <w:r>
              <w:rPr>
                <w:b w:val="false"/>
                <w:bCs w:val="false"/>
                <w:color w:val="23282E"/>
                <w:sz w:val="19"/>
                <w:szCs w:val="19"/>
              </w:rPr>
              <w:t xml:space="preserve">Correspondence</w:t>
            </w:r>
          </w:p>
        </w:tc>
        <w:tc>
          <w:tcPr>
            <w:tcW w:type="dxa" w:w="1600"/>
            <w:tcMar>
              <w:top w:type="dxa" w:w="90"/>
              <w:left w:type="dxa" w:w="120"/>
              <w:bottom w:type="dxa" w:w="90"/>
              <w:right w:type="dxa" w:w="120"/>
            </w:tcMar>
          </w:tcPr>
          <w:p>
            <w:r>
              <w:rPr>
                <w:b w:val="false"/>
                <w:bCs w:val="false"/>
                <w:color w:val="23282E"/>
                <w:sz w:val="19"/>
                <w:szCs w:val="19"/>
              </w:rPr>
              <w:t xml:space="preserve">Live</w:t>
            </w:r>
          </w:p>
        </w:tc>
        <w:tc>
          <w:tcPr>
            <w:tcW w:type="dxa" w:w="6000"/>
            <w:tcMar>
              <w:top w:type="dxa" w:w="90"/>
              <w:left w:type="dxa" w:w="120"/>
              <w:bottom w:type="dxa" w:w="90"/>
              <w:right w:type="dxa" w:w="120"/>
            </w:tcMar>
          </w:tcPr>
          <w:p>
            <w:r>
              <w:rPr>
                <w:b w:val="false"/>
                <w:bCs w:val="false"/>
                <w:color w:val="23282E"/>
                <w:sz w:val="19"/>
                <w:szCs w:val="19"/>
              </w:rPr>
              <w:t xml:space="preserve">The completeness-check and chase-email loop — this is job #1 of the current scope.</w:t>
            </w:r>
          </w:p>
        </w:tc>
      </w:tr>
      <w:tr>
        <w:tc>
          <w:tcPr>
            <w:tcW w:type="dxa" w:w="1900"/>
            <w:shd w:fill="EFF3F1" w:val="clear"/>
            <w:tcMar>
              <w:top w:type="dxa" w:w="90"/>
              <w:left w:type="dxa" w:w="120"/>
              <w:bottom w:type="dxa" w:w="90"/>
              <w:right w:type="dxa" w:w="120"/>
            </w:tcMar>
          </w:tcPr>
          <w:p>
            <w:r>
              <w:rPr>
                <w:b w:val="false"/>
                <w:bCs w:val="false"/>
                <w:color w:val="23282E"/>
                <w:sz w:val="19"/>
                <w:szCs w:val="19"/>
              </w:rPr>
              <w:t xml:space="preserve">Review</w:t>
            </w:r>
          </w:p>
        </w:tc>
        <w:tc>
          <w:tcPr>
            <w:tcW w:type="dxa" w:w="1600"/>
            <w:shd w:fill="EFF3F1" w:val="clear"/>
            <w:tcMar>
              <w:top w:type="dxa" w:w="90"/>
              <w:left w:type="dxa" w:w="120"/>
              <w:bottom w:type="dxa" w:w="90"/>
              <w:right w:type="dxa" w:w="120"/>
            </w:tcMar>
          </w:tcPr>
          <w:p>
            <w:r>
              <w:rPr>
                <w:b w:val="false"/>
                <w:bCs w:val="false"/>
                <w:color w:val="23282E"/>
                <w:sz w:val="19"/>
                <w:szCs w:val="19"/>
              </w:rPr>
              <w:t xml:space="preserve">Live</w:t>
            </w:r>
          </w:p>
        </w:tc>
        <w:tc>
          <w:tcPr>
            <w:tcW w:type="dxa" w:w="6000"/>
            <w:shd w:fill="EFF3F1" w:val="clear"/>
            <w:tcMar>
              <w:top w:type="dxa" w:w="90"/>
              <w:left w:type="dxa" w:w="120"/>
              <w:bottom w:type="dxa" w:w="90"/>
              <w:right w:type="dxa" w:w="120"/>
            </w:tcMar>
          </w:tcPr>
          <w:p>
            <w:r>
              <w:rPr>
                <w:b w:val="false"/>
                <w:bCs w:val="false"/>
                <w:color w:val="23282E"/>
                <w:sz w:val="19"/>
                <w:szCs w:val="19"/>
              </w:rPr>
              <w:t xml:space="preserve">Qualify → sum → compare → four-agent investigation → adjudication — this is job #2, the reconciliation core.</w:t>
            </w:r>
          </w:p>
        </w:tc>
      </w:tr>
      <w:tr>
        <w:tc>
          <w:tcPr>
            <w:tcW w:type="dxa" w:w="1900"/>
            <w:tcMar>
              <w:top w:type="dxa" w:w="90"/>
              <w:left w:type="dxa" w:w="120"/>
              <w:bottom w:type="dxa" w:w="90"/>
              <w:right w:type="dxa" w:w="120"/>
            </w:tcMar>
          </w:tcPr>
          <w:p>
            <w:r>
              <w:rPr>
                <w:b w:val="false"/>
                <w:bCs w:val="false"/>
                <w:color w:val="23282E"/>
                <w:sz w:val="19"/>
                <w:szCs w:val="19"/>
              </w:rPr>
              <w:t xml:space="preserve">Closure</w:t>
            </w:r>
          </w:p>
        </w:tc>
        <w:tc>
          <w:tcPr>
            <w:tcW w:type="dxa" w:w="1600"/>
            <w:tcMar>
              <w:top w:type="dxa" w:w="90"/>
              <w:left w:type="dxa" w:w="120"/>
              <w:bottom w:type="dxa" w:w="90"/>
              <w:right w:type="dxa" w:w="120"/>
            </w:tcMar>
          </w:tcPr>
          <w:p>
            <w:r>
              <w:rPr>
                <w:b w:val="false"/>
                <w:bCs w:val="false"/>
                <w:color w:val="23282E"/>
                <w:sz w:val="19"/>
                <w:szCs w:val="19"/>
              </w:rPr>
              <w:t xml:space="preserve">Live</w:t>
            </w:r>
          </w:p>
        </w:tc>
        <w:tc>
          <w:tcPr>
            <w:tcW w:type="dxa" w:w="6000"/>
            <w:tcMar>
              <w:top w:type="dxa" w:w="90"/>
              <w:left w:type="dxa" w:w="120"/>
              <w:bottom w:type="dxa" w:w="90"/>
              <w:right w:type="dxa" w:w="120"/>
            </w:tcMar>
          </w:tcPr>
          <w:p>
            <w:r>
              <w:rPr>
                <w:b w:val="false"/>
                <w:bCs w:val="false"/>
                <w:color w:val="23282E"/>
                <w:sz w:val="19"/>
                <w:szCs w:val="19"/>
              </w:rPr>
              <w:t xml:space="preserve">The audit report builds all six sections in the Authority's own order; a field the case cannot answer is labelled honestly (“[not held]” or “[for the auditor to complete]”) rather than guessed.</w:t>
            </w:r>
          </w:p>
        </w:tc>
      </w:tr>
    </w:tbl>
    <w:p>
      <w:pPr>
        <w:pStyle w:val="Heading1"/>
        <w:pBdr>
          <w:bottom w:val="single" w:color="0E6B57" w:sz="6" w:space="4"/>
        </w:pBdr>
        <w:spacing w:after="160" w:before="420"/>
      </w:pPr>
      <w:r>
        <w:rPr>
          <w:b/>
          <w:bCs/>
          <w:color w:val="1B2A4A"/>
          <w:sz w:val="28"/>
          <w:szCs w:val="28"/>
        </w:rPr>
        <w:t xml:space="preserve">8. Current Challenges Faced by Auditors</w:t>
      </w:r>
    </w:p>
    <w:p>
      <w:pPr>
        <w:spacing w:after="140" w:line="276"/>
      </w:pPr>
      <w:r>
        <w:rPr>
          <w:color w:val="23282E"/>
          <w:sz w:val="21"/>
          <w:szCs w:val="21"/>
        </w:rPr>
        <w:t xml:space="preserve">Restating Section 3 with the concrete cost of each pain point, as the direct lead-in to what was built against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shd w:fill="1B2A4A" w:val="clear"/>
            <w:tcMar>
              <w:top w:type="dxa" w:w="90"/>
              <w:left w:type="dxa" w:w="120"/>
              <w:bottom w:type="dxa" w:w="90"/>
              <w:right w:type="dxa" w:w="120"/>
            </w:tcMar>
          </w:tcPr>
          <w:p>
            <w:r>
              <w:rPr>
                <w:b/>
                <w:bCs/>
                <w:color w:val="FFFFFF"/>
                <w:sz w:val="19"/>
                <w:szCs w:val="19"/>
              </w:rPr>
              <w:t xml:space="preserve">Pain point</w:t>
            </w:r>
          </w:p>
        </w:tc>
        <w:tc>
          <w:tcPr>
            <w:tcW w:type="dxa" w:w="6300"/>
            <w:shd w:fill="1B2A4A" w:val="clear"/>
            <w:tcMar>
              <w:top w:type="dxa" w:w="90"/>
              <w:left w:type="dxa" w:w="120"/>
              <w:bottom w:type="dxa" w:w="90"/>
              <w:right w:type="dxa" w:w="120"/>
            </w:tcMar>
          </w:tcPr>
          <w:p>
            <w:r>
              <w:rPr>
                <w:b/>
                <w:bCs/>
                <w:color w:val="FFFFFF"/>
                <w:sz w:val="19"/>
                <w:szCs w:val="19"/>
              </w:rPr>
              <w:t xml:space="preserve">What it costs today</w:t>
            </w:r>
          </w:p>
        </w:tc>
      </w:tr>
      <w:tr>
        <w:tc>
          <w:tcPr>
            <w:tcW w:type="dxa" w:w="3200"/>
            <w:tcMar>
              <w:top w:type="dxa" w:w="90"/>
              <w:left w:type="dxa" w:w="120"/>
              <w:bottom w:type="dxa" w:w="90"/>
              <w:right w:type="dxa" w:w="120"/>
            </w:tcMar>
          </w:tcPr>
          <w:p>
            <w:r>
              <w:rPr>
                <w:b w:val="false"/>
                <w:bCs w:val="false"/>
                <w:color w:val="23282E"/>
                <w:sz w:val="19"/>
                <w:szCs w:val="19"/>
              </w:rPr>
              <w:t xml:space="preserve">1. Months-long correspondence</w:t>
            </w:r>
          </w:p>
        </w:tc>
        <w:tc>
          <w:tcPr>
            <w:tcW w:type="dxa" w:w="6300"/>
            <w:tcMar>
              <w:top w:type="dxa" w:w="90"/>
              <w:left w:type="dxa" w:w="120"/>
              <w:bottom w:type="dxa" w:w="90"/>
              <w:right w:type="dxa" w:w="120"/>
            </w:tcMar>
          </w:tcPr>
          <w:p>
            <w:r>
              <w:rPr>
                <w:b w:val="false"/>
                <w:bCs w:val="false"/>
                <w:color w:val="23282E"/>
                <w:sz w:val="19"/>
                <w:szCs w:val="19"/>
              </w:rPr>
              <w:t xml:space="preserve">Each round of “you left out two columns” costs weeks; a case can run months on correspondence alone. Work that is genuinely blocked on the taxpayer is indistinguishable, in most systems, from work the auditor has simply not picked up.</w:t>
            </w:r>
          </w:p>
        </w:tc>
      </w:tr>
      <w:tr>
        <w:tc>
          <w:tcPr>
            <w:tcW w:type="dxa" w:w="3200"/>
            <w:shd w:fill="EFF3F1" w:val="clear"/>
            <w:tcMar>
              <w:top w:type="dxa" w:w="90"/>
              <w:left w:type="dxa" w:w="120"/>
              <w:bottom w:type="dxa" w:w="90"/>
              <w:right w:type="dxa" w:w="120"/>
            </w:tcMar>
          </w:tcPr>
          <w:p>
            <w:r>
              <w:rPr>
                <w:b w:val="false"/>
                <w:bCs w:val="false"/>
                <w:color w:val="23282E"/>
                <w:sz w:val="19"/>
                <w:szCs w:val="19"/>
              </w:rPr>
              <w:t xml:space="preserve">2. Structure over substance</w:t>
            </w:r>
          </w:p>
        </w:tc>
        <w:tc>
          <w:tcPr>
            <w:tcW w:type="dxa" w:w="6300"/>
            <w:shd w:fill="EFF3F1" w:val="clear"/>
            <w:tcMar>
              <w:top w:type="dxa" w:w="90"/>
              <w:left w:type="dxa" w:w="120"/>
              <w:bottom w:type="dxa" w:w="90"/>
              <w:right w:type="dxa" w:w="120"/>
            </w:tcMar>
          </w:tcPr>
          <w:p>
            <w:r>
              <w:rPr>
                <w:b w:val="false"/>
                <w:bCs w:val="false"/>
                <w:color w:val="23282E"/>
                <w:sz w:val="19"/>
                <w:szCs w:val="19"/>
              </w:rPr>
              <w:t xml:space="preserve">The bulk of every response review is spent on completeness, field presence and whether totals foot — before any tax judgement is applied at all.</w:t>
            </w:r>
          </w:p>
        </w:tc>
      </w:tr>
      <w:tr>
        <w:tc>
          <w:tcPr>
            <w:tcW w:type="dxa" w:w="3200"/>
            <w:tcMar>
              <w:top w:type="dxa" w:w="90"/>
              <w:left w:type="dxa" w:w="120"/>
              <w:bottom w:type="dxa" w:w="90"/>
              <w:right w:type="dxa" w:w="120"/>
            </w:tcMar>
          </w:tcPr>
          <w:p>
            <w:r>
              <w:rPr>
                <w:b w:val="false"/>
                <w:bCs w:val="false"/>
                <w:color w:val="23282E"/>
                <w:sz w:val="19"/>
                <w:szCs w:val="19"/>
              </w:rPr>
              <w:t xml:space="preserve">3. Fragmented internal data</w:t>
            </w:r>
          </w:p>
        </w:tc>
        <w:tc>
          <w:tcPr>
            <w:tcW w:type="dxa" w:w="6300"/>
            <w:tcMar>
              <w:top w:type="dxa" w:w="90"/>
              <w:left w:type="dxa" w:w="120"/>
              <w:bottom w:type="dxa" w:w="90"/>
              <w:right w:type="dxa" w:w="120"/>
            </w:tcMar>
          </w:tcPr>
          <w:p>
            <w:r>
              <w:rPr>
                <w:b w:val="false"/>
                <w:bCs w:val="false"/>
                <w:color w:val="23282E"/>
                <w:sz w:val="19"/>
                <w:szCs w:val="19"/>
              </w:rPr>
              <w:t xml:space="preserve">“Investigate internal data first” means opening several separate systems in turn just to know what ZATCA already holds, before any genuine gap can be identified.</w:t>
            </w:r>
          </w:p>
        </w:tc>
      </w:tr>
      <w:tr>
        <w:tc>
          <w:tcPr>
            <w:tcW w:type="dxa" w:w="3200"/>
            <w:shd w:fill="EFF3F1" w:val="clear"/>
            <w:tcMar>
              <w:top w:type="dxa" w:w="90"/>
              <w:left w:type="dxa" w:w="120"/>
              <w:bottom w:type="dxa" w:w="90"/>
              <w:right w:type="dxa" w:w="120"/>
            </w:tcMar>
          </w:tcPr>
          <w:p>
            <w:r>
              <w:rPr>
                <w:b w:val="false"/>
                <w:bCs w:val="false"/>
                <w:color w:val="23282E"/>
                <w:sz w:val="19"/>
                <w:szCs w:val="19"/>
              </w:rPr>
              <w:t xml:space="preserve">4. Tacit institutional knowledge</w:t>
            </w:r>
          </w:p>
        </w:tc>
        <w:tc>
          <w:tcPr>
            <w:tcW w:type="dxa" w:w="6300"/>
            <w:shd w:fill="EFF3F1" w:val="clear"/>
            <w:tcMar>
              <w:top w:type="dxa" w:w="90"/>
              <w:left w:type="dxa" w:w="120"/>
              <w:bottom w:type="dxa" w:w="90"/>
              <w:right w:type="dxa" w:w="120"/>
            </w:tcMar>
          </w:tcPr>
          <w:p>
            <w:r>
              <w:rPr>
                <w:b w:val="false"/>
                <w:bCs w:val="false"/>
                <w:color w:val="23282E"/>
                <w:sz w:val="19"/>
                <w:szCs w:val="19"/>
              </w:rPr>
              <w:t xml:space="preserve">Regulatory interpretation, sector patterns and precedent from past cases live in individual auditors' experience, with no shared, retrievable record.</w:t>
            </w:r>
          </w:p>
        </w:tc>
      </w:tr>
    </w:tbl>
    <w:p>
      <w:pPr>
        <w:pStyle w:val="Heading1"/>
        <w:pBdr>
          <w:bottom w:val="single" w:color="0E6B57" w:sz="6" w:space="4"/>
        </w:pBdr>
        <w:spacing w:after="160" w:before="420"/>
      </w:pPr>
      <w:r>
        <w:rPr>
          <w:b/>
          <w:bCs/>
          <w:color w:val="1B2A4A"/>
          <w:sz w:val="28"/>
          <w:szCs w:val="28"/>
        </w:rPr>
        <w:t xml:space="preserve">9. Solutions We Went With</w:t>
      </w:r>
    </w:p>
    <w:p>
      <w:pPr>
        <w:pStyle w:val="ListParagraph"/>
        <w:numPr>
          <w:ilvl w:val="0"/>
          <w:numId w:val="2"/>
        </w:numPr>
        <w:spacing w:after="90" w:line="268"/>
      </w:pPr>
      <w:r>
        <w:rPr>
          <w:b/>
          <w:bCs/>
          <w:color w:val="1B2A4A"/>
          <w:sz w:val="21"/>
          <w:szCs w:val="21"/>
        </w:rPr>
        <w:t xml:space="preserve">Against #1 (months-long correspondence): </w:t>
      </w:r>
      <w:r>
        <w:rPr>
          <w:b w:val="false"/>
          <w:bCs w:val="false"/>
          <w:color w:val="23282E"/>
          <w:sz w:val="21"/>
          <w:szCs w:val="21"/>
        </w:rPr>
        <w:t xml:space="preserve">a lifecycle machine where every stage is computed, never stored, and “waiting on the taxpayer” is a distinct, explicit state — so a case queue can finally tell the two apart. Completeness is rechecked automatically on every new document, not manually.</w:t>
      </w:r>
    </w:p>
    <w:p>
      <w:pPr>
        <w:pStyle w:val="ListParagraph"/>
        <w:numPr>
          <w:ilvl w:val="0"/>
          <w:numId w:val="2"/>
        </w:numPr>
        <w:spacing w:after="90" w:line="268"/>
      </w:pPr>
      <w:r>
        <w:rPr>
          <w:b/>
          <w:bCs/>
          <w:color w:val="1B2A4A"/>
          <w:sz w:val="21"/>
          <w:szCs w:val="21"/>
        </w:rPr>
        <w:t xml:space="preserve">Against #2 (structure over substance): </w:t>
      </w:r>
      <w:r>
        <w:rPr>
          <w:b w:val="false"/>
          <w:bCs w:val="false"/>
          <w:color w:val="23282E"/>
          <w:sz w:val="21"/>
          <w:szCs w:val="21"/>
        </w:rPr>
        <w:t xml:space="preserve">a deterministic completeness checker tests structure, columns, blank fields and footing against the parsed request spec before any tax question is asked, and drafts the chase email from the gaps alone.</w:t>
      </w:r>
    </w:p>
    <w:p>
      <w:pPr>
        <w:pStyle w:val="ListParagraph"/>
        <w:numPr>
          <w:ilvl w:val="0"/>
          <w:numId w:val="2"/>
        </w:numPr>
        <w:spacing w:after="90" w:line="268"/>
      </w:pPr>
      <w:r>
        <w:rPr>
          <w:b/>
          <w:bCs/>
          <w:color w:val="1B2A4A"/>
          <w:sz w:val="21"/>
          <w:szCs w:val="21"/>
        </w:rPr>
        <w:t xml:space="preserve">Against #3 (fragmented data): </w:t>
      </w:r>
      <w:r>
        <w:rPr>
          <w:b w:val="false"/>
          <w:bCs w:val="false"/>
          <w:color w:val="23282E"/>
          <w:sz w:val="21"/>
          <w:szCs w:val="21"/>
        </w:rPr>
        <w:t xml:space="preserve">a single dossier-assembly call brings together everything ZATCA already holds about the taxpayer and period, in one screen.</w:t>
      </w:r>
    </w:p>
    <w:p>
      <w:pPr>
        <w:pStyle w:val="ListParagraph"/>
        <w:numPr>
          <w:ilvl w:val="0"/>
          <w:numId w:val="2"/>
        </w:numPr>
        <w:spacing w:after="90" w:line="268"/>
      </w:pPr>
      <w:r>
        <w:rPr>
          <w:b/>
          <w:bCs/>
          <w:color w:val="1B2A4A"/>
          <w:sz w:val="21"/>
          <w:szCs w:val="21"/>
        </w:rPr>
        <w:t xml:space="preserve">Against #4 (tacit knowledge): </w:t>
      </w:r>
      <w:r>
        <w:rPr>
          <w:b w:val="false"/>
          <w:bCs w:val="false"/>
          <w:color w:val="23282E"/>
          <w:sz w:val="21"/>
          <w:szCs w:val="21"/>
        </w:rPr>
        <w:t xml:space="preserve">deliberately deferred rather than half-built. Deterministic precedent retrieval over a labelled corpus of closed cases already exists and is tested, but is dormant under the current scope. It is the intended foundation for the RAG phase discussed in Section 11 — retrieval over governed, validated knowledge, never a model retrained on unreviewed input.</w:t>
      </w:r>
    </w:p>
    <w:p>
      <w:pPr>
        <w:pStyle w:val="Heading2"/>
        <w:spacing w:after="100" w:before="260"/>
      </w:pPr>
      <w:r>
        <w:rPr>
          <w:b/>
          <w:bCs/>
          <w:color w:val="0E6B57"/>
          <w:sz w:val="23"/>
          <w:szCs w:val="23"/>
        </w:rPr>
        <w:t xml:space="preserve">The cross-cutting solution: evidence, not assertion</w:t>
      </w:r>
    </w:p>
    <w:p>
      <w:pPr>
        <w:spacing w:after="140" w:line="276"/>
      </w:pPr>
      <w:r>
        <w:rPr>
          <w:color w:val="23282E"/>
          <w:sz w:val="21"/>
          <w:szCs w:val="21"/>
        </w:rPr>
        <w:t xml:space="preserve">Every confirmed hypothesis becomes a finding only with a named evidentiary basis attached by the adjudicator — not inferred from the test name. This matters concretely: a single sales listing that exceeds the declared return is simultaneously “higher than declared,” “not disclosed,” “does not correspond,” and — with no trial balance on file — a fourth variant, all from one test over one file. An early version of the logic summed all four as if independent and reported SAR 1,854,000 against a real excess of SAR 618,000, stating the same figure in a taxpayer letter four times over. The fix: exposure counts each evidentiary basis once, documentation risk excludes evidence already producing an adjustment, and the letter states each amount once with the alternative readings named beneath it — the basis comes from the adjudicator, never from the test's name.</w:t>
      </w:r>
    </w:p>
    <w:p>
      <w:pPr>
        <w:pStyle w:val="Heading1"/>
        <w:pBdr>
          <w:bottom w:val="single" w:color="0E6B57" w:sz="6" w:space="4"/>
        </w:pBdr>
        <w:spacing w:after="160" w:before="420"/>
      </w:pPr>
      <w:r>
        <w:rPr>
          <w:b/>
          <w:bCs/>
          <w:color w:val="1B2A4A"/>
          <w:sz w:val="28"/>
          <w:szCs w:val="28"/>
        </w:rPr>
        <w:t xml:space="preserve">10. Agents &amp; How They Work</w:t>
      </w:r>
    </w:p>
    <w:p>
      <w:pPr>
        <w:spacing w:after="140" w:line="276"/>
      </w:pPr>
      <w:r>
        <w:rPr>
          <w:color w:val="23282E"/>
          <w:sz w:val="21"/>
          <w:szCs w:val="21"/>
        </w:rPr>
        <w:t xml:space="preserve">Investigation is a bounded, five-round state machine over a shared case file — deliberately not free-form model chat, which would be unauditable and unbounded.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7600"/>
      </w:tblGrid>
      <w:tr>
        <w:tc>
          <w:tcPr>
            <w:tcW w:type="dxa" w:w="1500"/>
            <w:shd w:fill="1B2A4A" w:val="clear"/>
            <w:tcMar>
              <w:top w:type="dxa" w:w="90"/>
              <w:left w:type="dxa" w:w="120"/>
              <w:bottom w:type="dxa" w:w="90"/>
              <w:right w:type="dxa" w:w="120"/>
            </w:tcMar>
          </w:tcPr>
          <w:p>
            <w:r>
              <w:rPr>
                <w:b/>
                <w:bCs/>
                <w:color w:val="FFFFFF"/>
                <w:sz w:val="19"/>
                <w:szCs w:val="19"/>
              </w:rPr>
              <w:t xml:space="preserve">Round</w:t>
            </w:r>
          </w:p>
        </w:tc>
        <w:tc>
          <w:tcPr>
            <w:tcW w:type="dxa" w:w="7600"/>
            <w:shd w:fill="1B2A4A" w:val="clear"/>
            <w:tcMar>
              <w:top w:type="dxa" w:w="90"/>
              <w:left w:type="dxa" w:w="120"/>
              <w:bottom w:type="dxa" w:w="90"/>
              <w:right w:type="dxa" w:w="120"/>
            </w:tcMar>
          </w:tcPr>
          <w:p>
            <w:r>
              <w:rPr>
                <w:b/>
                <w:bCs/>
                <w:color w:val="FFFFFF"/>
                <w:sz w:val="19"/>
                <w:szCs w:val="19"/>
              </w:rPr>
              <w:t xml:space="preserve">What happens</w:t>
            </w:r>
          </w:p>
        </w:tc>
      </w:tr>
      <w:tr>
        <w:tc>
          <w:tcPr>
            <w:tcW w:type="dxa" w:w="1500"/>
            <w:tcMar>
              <w:top w:type="dxa" w:w="90"/>
              <w:left w:type="dxa" w:w="120"/>
              <w:bottom w:type="dxa" w:w="90"/>
              <w:right w:type="dxa" w:w="120"/>
            </w:tcMar>
          </w:tcPr>
          <w:p>
            <w:r>
              <w:rPr>
                <w:b w:val="false"/>
                <w:bCs w:val="false"/>
                <w:color w:val="23282E"/>
                <w:sz w:val="19"/>
                <w:szCs w:val="19"/>
              </w:rPr>
              <w:t xml:space="preserve">0 · Facts</w:t>
            </w:r>
          </w:p>
        </w:tc>
        <w:tc>
          <w:tcPr>
            <w:tcW w:type="dxa" w:w="7600"/>
            <w:tcMar>
              <w:top w:type="dxa" w:w="90"/>
              <w:left w:type="dxa" w:w="120"/>
              <w:bottom w:type="dxa" w:w="90"/>
              <w:right w:type="dxa" w:w="120"/>
            </w:tcMar>
          </w:tcPr>
          <w:p>
            <w:r>
              <w:rPr>
                <w:b w:val="false"/>
                <w:bCs w:val="false"/>
                <w:color w:val="23282E"/>
                <w:sz w:val="19"/>
                <w:szCs w:val="19"/>
              </w:rPr>
              <w:t xml:space="preserve">The deterministic engine publishes what it has already computed — declared, expected, difference, materiality, state — as the shared ground truth every agent reasons over.</w:t>
            </w:r>
          </w:p>
        </w:tc>
      </w:tr>
      <w:tr>
        <w:tc>
          <w:tcPr>
            <w:tcW w:type="dxa" w:w="1500"/>
            <w:shd w:fill="EFF3F1" w:val="clear"/>
            <w:tcMar>
              <w:top w:type="dxa" w:w="90"/>
              <w:left w:type="dxa" w:w="120"/>
              <w:bottom w:type="dxa" w:w="90"/>
              <w:right w:type="dxa" w:w="120"/>
            </w:tcMar>
          </w:tcPr>
          <w:p>
            <w:r>
              <w:rPr>
                <w:b w:val="false"/>
                <w:bCs w:val="false"/>
                <w:color w:val="23282E"/>
                <w:sz w:val="19"/>
                <w:szCs w:val="19"/>
              </w:rPr>
              <w:t xml:space="preserve">1 · Hypotheses</w:t>
            </w:r>
          </w:p>
        </w:tc>
        <w:tc>
          <w:tcPr>
            <w:tcW w:type="dxa" w:w="7600"/>
            <w:shd w:fill="EFF3F1" w:val="clear"/>
            <w:tcMar>
              <w:top w:type="dxa" w:w="90"/>
              <w:left w:type="dxa" w:w="120"/>
              <w:bottom w:type="dxa" w:w="90"/>
              <w:right w:type="dxa" w:w="120"/>
            </w:tcMar>
          </w:tcPr>
          <w:p>
            <w:r>
              <w:rPr>
                <w:b w:val="false"/>
                <w:bCs w:val="false"/>
                <w:color w:val="23282E"/>
                <w:sz w:val="19"/>
                <w:szCs w:val="19"/>
              </w:rPr>
              <w:t xml:space="preserve">The four agents propose in parallel. Each returns language only — a claim and a typed test specification — never a figure and never a conclusion.</w:t>
            </w:r>
          </w:p>
        </w:tc>
      </w:tr>
      <w:tr>
        <w:tc>
          <w:tcPr>
            <w:tcW w:type="dxa" w:w="1500"/>
            <w:tcMar>
              <w:top w:type="dxa" w:w="90"/>
              <w:left w:type="dxa" w:w="120"/>
              <w:bottom w:type="dxa" w:w="90"/>
              <w:right w:type="dxa" w:w="120"/>
            </w:tcMar>
          </w:tcPr>
          <w:p>
            <w:r>
              <w:rPr>
                <w:b w:val="false"/>
                <w:bCs w:val="false"/>
                <w:color w:val="23282E"/>
                <w:sz w:val="19"/>
                <w:szCs w:val="19"/>
              </w:rPr>
              <w:t xml:space="preserve">2 · Adjudication</w:t>
            </w:r>
          </w:p>
        </w:tc>
        <w:tc>
          <w:tcPr>
            <w:tcW w:type="dxa" w:w="7600"/>
            <w:tcMar>
              <w:top w:type="dxa" w:w="90"/>
              <w:left w:type="dxa" w:w="120"/>
              <w:bottom w:type="dxa" w:w="90"/>
              <w:right w:type="dxa" w:w="120"/>
            </w:tcMar>
          </w:tcPr>
          <w:p>
            <w:r>
              <w:rPr>
                <w:b w:val="false"/>
                <w:bCs w:val="false"/>
                <w:color w:val="23282E"/>
                <w:sz w:val="19"/>
                <w:szCs w:val="19"/>
              </w:rPr>
              <w:t xml:space="preserve">A deterministic adjudicator executes every proposed test against the engine's own data and states the amount, if any, and the status: confirmed, rejected, or insufficient evidence.</w:t>
            </w:r>
          </w:p>
        </w:tc>
      </w:tr>
      <w:tr>
        <w:tc>
          <w:tcPr>
            <w:tcW w:type="dxa" w:w="1500"/>
            <w:shd w:fill="EFF3F1" w:val="clear"/>
            <w:tcMar>
              <w:top w:type="dxa" w:w="90"/>
              <w:left w:type="dxa" w:w="120"/>
              <w:bottom w:type="dxa" w:w="90"/>
              <w:right w:type="dxa" w:w="120"/>
            </w:tcMar>
          </w:tcPr>
          <w:p>
            <w:r>
              <w:rPr>
                <w:b w:val="false"/>
                <w:bCs w:val="false"/>
                <w:color w:val="23282E"/>
                <w:sz w:val="19"/>
                <w:szCs w:val="19"/>
              </w:rPr>
              <w:t xml:space="preserve">3 · Objection</w:t>
            </w:r>
          </w:p>
        </w:tc>
        <w:tc>
          <w:tcPr>
            <w:tcW w:type="dxa" w:w="7600"/>
            <w:shd w:fill="EFF3F1" w:val="clear"/>
            <w:tcMar>
              <w:top w:type="dxa" w:w="90"/>
              <w:left w:type="dxa" w:w="120"/>
              <w:bottom w:type="dxa" w:w="90"/>
              <w:right w:type="dxa" w:w="120"/>
            </w:tcMar>
          </w:tcPr>
          <w:p>
            <w:r>
              <w:rPr>
                <w:b w:val="false"/>
                <w:bCs w:val="false"/>
                <w:color w:val="23282E"/>
                <w:sz w:val="19"/>
                <w:szCs w:val="19"/>
              </w:rPr>
              <w:t xml:space="preserve">A challenger tests whether the leading hypothesis really accounts for the whole difference, or whether a rival explanation, or an unexplained shortfall, remains.</w:t>
            </w:r>
          </w:p>
        </w:tc>
      </w:tr>
      <w:tr>
        <w:tc>
          <w:tcPr>
            <w:tcW w:type="dxa" w:w="1500"/>
            <w:tcMar>
              <w:top w:type="dxa" w:w="90"/>
              <w:left w:type="dxa" w:w="120"/>
              <w:bottom w:type="dxa" w:w="90"/>
              <w:right w:type="dxa" w:w="120"/>
            </w:tcMar>
          </w:tcPr>
          <w:p>
            <w:r>
              <w:rPr>
                <w:b w:val="false"/>
                <w:bCs w:val="false"/>
                <w:color w:val="23282E"/>
                <w:sz w:val="19"/>
                <w:szCs w:val="19"/>
              </w:rPr>
              <w:t xml:space="preserve">4 · Conclusion</w:t>
            </w:r>
          </w:p>
        </w:tc>
        <w:tc>
          <w:tcPr>
            <w:tcW w:type="dxa" w:w="7600"/>
            <w:tcMar>
              <w:top w:type="dxa" w:w="90"/>
              <w:left w:type="dxa" w:w="120"/>
              <w:bottom w:type="dxa" w:w="90"/>
              <w:right w:type="dxa" w:w="120"/>
            </w:tcMar>
          </w:tcPr>
          <w:p>
            <w:r>
              <w:rPr>
                <w:b w:val="false"/>
                <w:bCs w:val="false"/>
                <w:color w:val="23282E"/>
                <w:sz w:val="19"/>
                <w:szCs w:val="19"/>
              </w:rPr>
              <w:t xml:space="preserve">The case lead ranks the confirmed hypotheses and states plainly what remains unexplained — or escalates the ranked list to the auditor rather than guessing, if nothing fits.</w:t>
            </w:r>
          </w:p>
        </w:tc>
      </w:tr>
    </w:tbl>
    <w:p>
      <w:pPr>
        <w:spacing w:before="220"/>
      </w:pPr>
    </w:p>
    <w:p>
      <w:pPr>
        <w:pStyle w:val="Heading2"/>
        <w:spacing w:after="100" w:before="260"/>
      </w:pPr>
      <w:r>
        <w:rPr>
          <w:b/>
          <w:bCs/>
          <w:color w:val="0E6B57"/>
          <w:sz w:val="23"/>
          <w:szCs w:val="23"/>
        </w:rPr>
        <w:t xml:space="preserve">The four agents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50"/>
        <w:gridCol w:w="7350"/>
      </w:tblGrid>
      <w:tr>
        <w:tc>
          <w:tcPr>
            <w:tcW w:type="dxa" w:w="1750"/>
            <w:shd w:fill="1B2A4A" w:val="clear"/>
            <w:tcMar>
              <w:top w:type="dxa" w:w="90"/>
              <w:left w:type="dxa" w:w="120"/>
              <w:bottom w:type="dxa" w:w="90"/>
              <w:right w:type="dxa" w:w="120"/>
            </w:tcMar>
          </w:tcPr>
          <w:p>
            <w:r>
              <w:rPr>
                <w:b/>
                <w:bCs/>
                <w:color w:val="FFFFFF"/>
                <w:sz w:val="19"/>
                <w:szCs w:val="19"/>
              </w:rPr>
              <w:t xml:space="preserve">Agent</w:t>
            </w:r>
          </w:p>
        </w:tc>
        <w:tc>
          <w:tcPr>
            <w:tcW w:type="dxa" w:w="7350"/>
            <w:shd w:fill="1B2A4A" w:val="clear"/>
            <w:tcMar>
              <w:top w:type="dxa" w:w="90"/>
              <w:left w:type="dxa" w:w="120"/>
              <w:bottom w:type="dxa" w:w="90"/>
              <w:right w:type="dxa" w:w="120"/>
            </w:tcMar>
          </w:tcPr>
          <w:p>
            <w:r>
              <w:rPr>
                <w:b/>
                <w:bCs/>
                <w:color w:val="FFFFFF"/>
                <w:sz w:val="19"/>
                <w:szCs w:val="19"/>
              </w:rPr>
              <w:t xml:space="preserve">Owns</w:t>
            </w:r>
          </w:p>
        </w:tc>
      </w:tr>
      <w:tr>
        <w:tc>
          <w:tcPr>
            <w:tcW w:type="dxa" w:w="1750"/>
            <w:tcMar>
              <w:top w:type="dxa" w:w="90"/>
              <w:left w:type="dxa" w:w="120"/>
              <w:bottom w:type="dxa" w:w="90"/>
              <w:right w:type="dxa" w:w="120"/>
            </w:tcMar>
          </w:tcPr>
          <w:p>
            <w:r>
              <w:rPr>
                <w:b w:val="false"/>
                <w:bCs w:val="false"/>
                <w:color w:val="23282E"/>
                <w:sz w:val="19"/>
                <w:szCs w:val="19"/>
              </w:rPr>
              <w:t xml:space="preserve">Regulations</w:t>
            </w:r>
          </w:p>
        </w:tc>
        <w:tc>
          <w:tcPr>
            <w:tcW w:type="dxa" w:w="7350"/>
            <w:tcMar>
              <w:top w:type="dxa" w:w="90"/>
              <w:left w:type="dxa" w:w="120"/>
              <w:bottom w:type="dxa" w:w="90"/>
              <w:right w:type="dxa" w:w="120"/>
            </w:tcMar>
          </w:tcPr>
          <w:p>
            <w:r>
              <w:rPr>
                <w:b w:val="false"/>
                <w:bCs w:val="false"/>
                <w:color w:val="23282E"/>
                <w:sz w:val="19"/>
                <w:szCs w:val="19"/>
              </w:rPr>
              <w:t xml:space="preserve">Not entitled to deduct · valid tax invoice conditions · valid credit note conditions. Cite-or-drop: it may not assert a condition without an article behind it, so it currently runs only the deterministic field-presence checks and a small explicit blocked-expense list, pending the real regulations corpus.</w:t>
            </w:r>
          </w:p>
        </w:tc>
      </w:tr>
      <w:tr>
        <w:tc>
          <w:tcPr>
            <w:tcW w:type="dxa" w:w="1750"/>
            <w:shd w:fill="EFF3F1" w:val="clear"/>
            <w:tcMar>
              <w:top w:type="dxa" w:w="90"/>
              <w:left w:type="dxa" w:w="120"/>
              <w:bottom w:type="dxa" w:w="90"/>
              <w:right w:type="dxa" w:w="120"/>
            </w:tcMar>
          </w:tcPr>
          <w:p>
            <w:r>
              <w:rPr>
                <w:b w:val="false"/>
                <w:bCs w:val="false"/>
                <w:color w:val="23282E"/>
                <w:sz w:val="19"/>
                <w:szCs w:val="19"/>
              </w:rPr>
              <w:t xml:space="preserve">Data Entry</w:t>
            </w:r>
          </w:p>
        </w:tc>
        <w:tc>
          <w:tcPr>
            <w:tcW w:type="dxa" w:w="7350"/>
            <w:shd w:fill="EFF3F1" w:val="clear"/>
            <w:tcMar>
              <w:top w:type="dxa" w:w="90"/>
              <w:left w:type="dxa" w:w="120"/>
              <w:bottom w:type="dxa" w:w="90"/>
              <w:right w:type="dxa" w:w="120"/>
            </w:tcMar>
          </w:tcPr>
          <w:p>
            <w:r>
              <w:rPr>
                <w:b w:val="false"/>
                <w:bCs w:val="false"/>
                <w:color w:val="23282E"/>
                <w:sz w:val="19"/>
                <w:szCs w:val="19"/>
              </w:rPr>
              <w:t xml:space="preserve">Decimal shift, transposition, and out-of-character magnitude — keying errors that would otherwise be read as under-declaration.</w:t>
            </w:r>
          </w:p>
        </w:tc>
      </w:tr>
      <w:tr>
        <w:tc>
          <w:tcPr>
            <w:tcW w:type="dxa" w:w="1750"/>
            <w:tcMar>
              <w:top w:type="dxa" w:w="90"/>
              <w:left w:type="dxa" w:w="120"/>
              <w:bottom w:type="dxa" w:w="90"/>
              <w:right w:type="dxa" w:w="120"/>
            </w:tcMar>
          </w:tcPr>
          <w:p>
            <w:r>
              <w:rPr>
                <w:b w:val="false"/>
                <w:bCs w:val="false"/>
                <w:color w:val="23282E"/>
                <w:sz w:val="19"/>
                <w:szCs w:val="19"/>
              </w:rPr>
              <w:t xml:space="preserve">Calculation</w:t>
            </w:r>
          </w:p>
        </w:tc>
        <w:tc>
          <w:tcPr>
            <w:tcW w:type="dxa" w:w="7350"/>
            <w:tcMar>
              <w:top w:type="dxa" w:w="90"/>
              <w:left w:type="dxa" w:w="120"/>
              <w:bottom w:type="dxa" w:w="90"/>
              <w:right w:type="dxa" w:w="120"/>
            </w:tcMar>
          </w:tcPr>
          <w:p>
            <w:r>
              <w:rPr>
                <w:b w:val="false"/>
                <w:bCs w:val="false"/>
                <w:color w:val="23282E"/>
                <w:sz w:val="19"/>
                <w:szCs w:val="19"/>
              </w:rPr>
              <w:t xml:space="preserve">Listing exceeds declared · POS/bank exceeds declared · undisclosed sales · unreproduced auditor figures. Also re-derives any figure an auditor keyed in by hand, from a plain-language description of their method — the model never does arithmetic, it only translates the sentence into a query Python executes.</w:t>
            </w:r>
          </w:p>
        </w:tc>
      </w:tr>
      <w:tr>
        <w:tc>
          <w:tcPr>
            <w:tcW w:type="dxa" w:w="1750"/>
            <w:shd w:fill="EFF3F1" w:val="clear"/>
            <w:tcMar>
              <w:top w:type="dxa" w:w="90"/>
              <w:left w:type="dxa" w:w="120"/>
              <w:bottom w:type="dxa" w:w="90"/>
              <w:right w:type="dxa" w:w="120"/>
            </w:tcMar>
          </w:tcPr>
          <w:p>
            <w:r>
              <w:rPr>
                <w:b w:val="false"/>
                <w:bCs w:val="false"/>
                <w:color w:val="23282E"/>
                <w:sz w:val="19"/>
                <w:szCs w:val="19"/>
              </w:rPr>
              <w:t xml:space="preserve">Evidence &amp; Coverage</w:t>
            </w:r>
          </w:p>
        </w:tc>
        <w:tc>
          <w:tcPr>
            <w:tcW w:type="dxa" w:w="7350"/>
            <w:shd w:fill="EFF3F1" w:val="clear"/>
            <w:tcMar>
              <w:top w:type="dxa" w:w="90"/>
              <w:left w:type="dxa" w:w="120"/>
              <w:bottom w:type="dxa" w:w="90"/>
              <w:right w:type="dxa" w:w="120"/>
            </w:tcMar>
          </w:tcPr>
          <w:p>
            <w:r>
              <w:rPr>
                <w:b w:val="false"/>
                <w:bCs w:val="false"/>
                <w:color w:val="23282E"/>
                <w:sz w:val="19"/>
                <w:szCs w:val="19"/>
              </w:rPr>
              <w:t xml:space="preserve">Missing supporting documentation · lack of cooperation · documents that do not correspond · no trial balance · undisclosed secondary activity. The largest share of the auditors' own outcome list.</w:t>
            </w:r>
          </w:p>
        </w:tc>
      </w:tr>
    </w:tbl>
    <w:p>
      <w:pPr>
        <w:spacing w:after="140" w:line="276"/>
      </w:pPr>
      <w:r>
        <w:rPr>
          <w:color w:val="23282E"/>
          <w:sz w:val="21"/>
          <w:szCs w:val="21"/>
        </w:rPr>
        <w:t xml:space="preserve">Two fields carry the defensibility weight on every hypothesis: “why” records the observation that triggered it — an auditor has to defend a finding to a taxpayer, and “an agent proposed it” is not a defence — and “outcome_code” is the one route from an agent's language to the Authority's own wording in a report. An agent proposing nothing is itself a correct, informative result: a hypothesis that can only ever return “insufficient evidence” wastes the auditor's attention.</w:t>
      </w:r>
    </w:p>
    <w:p>
      <w:pPr>
        <w:pStyle w:val="Heading2"/>
        <w:spacing w:after="100" w:before="260"/>
      </w:pPr>
      <w:r>
        <w:rPr>
          <w:b/>
          <w:bCs/>
          <w:color w:val="0E6B57"/>
          <w:sz w:val="23"/>
          <w:szCs w:val="23"/>
        </w:rPr>
        <w:t xml:space="preserve">The outcome vocabulary</w:t>
      </w:r>
    </w:p>
    <w:p>
      <w:pPr>
        <w:spacing w:after="140" w:line="276"/>
      </w:pPr>
      <w:r>
        <w:rPr>
          <w:color w:val="23282E"/>
          <w:sz w:val="21"/>
          <w:szCs w:val="21"/>
        </w:rPr>
        <w:t xml:space="preserve">The auditors' own fifteen finding statements are held verbatim in one module, de-duplicated to twelve distinct outcomes. Nothing is phrased ad hoc at the point of use — only this fixed vocabulary reaches a report or a taxpayer letter, and outcome statements never carry digits: the amount is computed by the adjudicator and travels alongside, never interpolated into the sentence.</w:t>
      </w:r>
    </w:p>
    <w:p>
      <w:pPr>
        <w:pStyle w:val="Heading2"/>
        <w:spacing w:after="100" w:before="260"/>
      </w:pPr>
      <w:r>
        <w:rPr>
          <w:b/>
          <w:bCs/>
          <w:color w:val="0E6B57"/>
          <w:sz w:val="23"/>
          <w:szCs w:val="23"/>
        </w:rPr>
        <w:t xml:space="preserve">Where retrieval (RAG) fits today</w:t>
      </w:r>
    </w:p>
    <w:p>
      <w:pPr>
        <w:spacing w:after="140" w:line="276"/>
      </w:pPr>
      <w:r>
        <w:rPr>
          <w:color w:val="23282E"/>
          <w:sz w:val="21"/>
          <w:szCs w:val="21"/>
        </w:rPr>
        <w:t xml:space="preserve">There is no trained or embedding-based retrieval system in the current build. What exists is deterministic precedent retrieval — a tally over a labelled corpus of closed cases, matched on structured fields such as the risk indicator and sector — and it is dormant under the current scope, kept and tested rather than deleted. This is the intended foundation for the next phase: a governed knowledge base trained on official ZATCA VAT and e-invoicing law, retrieved rather than fine-tuned into a model, as set out in Section 11.</w:t>
      </w:r>
    </w:p>
    <w:p>
      <w:pPr>
        <w:pStyle w:val="Heading1"/>
        <w:pBdr>
          <w:bottom w:val="single" w:color="0E6B57" w:sz="6" w:space="4"/>
        </w:pBdr>
        <w:spacing w:after="160" w:before="420"/>
      </w:pPr>
      <w:r>
        <w:rPr>
          <w:b/>
          <w:bCs/>
          <w:color w:val="1B2A4A"/>
          <w:sz w:val="28"/>
          <w:szCs w:val="28"/>
        </w:rPr>
        <w:t xml:space="preserve">11. Limitations &amp; Future Considerations</w:t>
      </w:r>
    </w:p>
    <w:p>
      <w:pPr>
        <w:pStyle w:val="Heading2"/>
        <w:spacing w:after="100" w:before="260"/>
      </w:pPr>
      <w:r>
        <w:rPr>
          <w:b/>
          <w:bCs/>
          <w:color w:val="0E6B57"/>
          <w:sz w:val="23"/>
          <w:szCs w:val="23"/>
        </w:rPr>
        <w:t xml:space="preserve">The tax-point approximation is the highest-leverage gap</w:t>
      </w:r>
    </w:p>
    <w:p>
      <w:pPr>
        <w:spacing w:after="140" w:line="276"/>
      </w:pPr>
      <w:r>
        <w:rPr>
          <w:color w:val="23282E"/>
          <w:sz w:val="21"/>
          <w:szCs w:val="21"/>
        </w:rPr>
        <w:t xml:space="preserve">The engine's own scope notes name this directly: a true tax-point rule — the earliest of payment, invoice, or contractual due date, with special cases for continuous supply — is the first thing production would need. Four candidate corrections are already drafted and under review, pending verification against the official ZATCA source documents before anything is wired into the live engine:</w:t>
      </w:r>
    </w:p>
    <w:p>
      <w:pPr>
        <w:pStyle w:val="ListParagraph"/>
        <w:numPr>
          <w:ilvl w:val="0"/>
          <w:numId w:val="2"/>
        </w:numPr>
        <w:spacing w:after="80" w:line="268"/>
      </w:pPr>
      <w:r>
        <w:rPr>
          <w:color w:val="23282E"/>
          <w:sz w:val="21"/>
          <w:szCs w:val="21"/>
        </w:rPr>
        <w:t xml:space="preserve">Government-contract timing — correcting the existing government-supply rule from “procurement-platform approval date” to the earlier of the payment-order date or receipt of consideration.</w:t>
      </w:r>
    </w:p>
    <w:p>
      <w:pPr>
        <w:pStyle w:val="ListParagraph"/>
        <w:numPr>
          <w:ilvl w:val="0"/>
          <w:numId w:val="2"/>
        </w:numPr>
        <w:spacing w:after="80" w:line="268"/>
      </w:pPr>
      <w:r>
        <w:rPr>
          <w:color w:val="23282E"/>
          <w:sz w:val="21"/>
          <w:szCs w:val="21"/>
        </w:rPr>
        <w:t xml:space="preserve">Advance-payment timing — a payment received before invoice or delivery accelerates the tax point to the payment date.</w:t>
      </w:r>
    </w:p>
    <w:p>
      <w:pPr>
        <w:pStyle w:val="ListParagraph"/>
        <w:numPr>
          <w:ilvl w:val="0"/>
          <w:numId w:val="2"/>
        </w:numPr>
        <w:spacing w:after="80" w:line="268"/>
      </w:pPr>
      <w:r>
        <w:rPr>
          <w:color w:val="23282E"/>
          <w:sz w:val="21"/>
          <w:szCs w:val="21"/>
        </w:rPr>
        <w:t xml:space="preserve">Continuous/successive-supply timing — the earliest of instalment-due date, payment date, or invoice date, with a tax point at least once every twelve months.</w:t>
      </w:r>
    </w:p>
    <w:p>
      <w:pPr>
        <w:pStyle w:val="ListParagraph"/>
        <w:numPr>
          <w:ilvl w:val="0"/>
          <w:numId w:val="2"/>
        </w:numPr>
        <w:spacing w:after="80" w:line="268"/>
      </w:pPr>
      <w:r>
        <w:rPr>
          <w:color w:val="23282E"/>
          <w:sz w:val="21"/>
          <w:szCs w:val="21"/>
        </w:rPr>
        <w:t xml:space="preserve">Telecom prepaid-voucher timing — voucher issuance is not itself the VAT point; activation or redemption is.</w:t>
      </w:r>
    </w:p>
    <w:p>
      <w:pPr>
        <w:pStyle w:val="Heading2"/>
        <w:spacing w:after="100" w:before="260"/>
      </w:pPr>
      <w:r>
        <w:rPr>
          <w:b/>
          <w:bCs/>
          <w:color w:val="0E6B57"/>
          <w:sz w:val="23"/>
          <w:szCs w:val="23"/>
        </w:rPr>
        <w:t xml:space="preserve">Everything named out of scope in Section 4</w:t>
      </w:r>
    </w:p>
    <w:p>
      <w:pPr>
        <w:spacing w:after="140" w:line="276"/>
      </w:pPr>
      <w:r>
        <w:rPr>
          <w:color w:val="23282E"/>
          <w:sz w:val="21"/>
          <w:szCs w:val="21"/>
        </w:rPr>
        <w:t xml:space="preserve">Imports, reverse-charge on imported services, exempt/zero-rated supplies, VAT groups, cash-accounting taxpayers, prior-period amendments, bad-debt relief, partial exemption, summary/B2C invoicing, rounding tolerance, buyer-side supplier matching, and rolling reconciliation are all real parts of the audit problem this PoC deliberately does not attempt. Each is tagged with the reason code that would carry it, so extending coverage is additive, not a redesign.</w:t>
      </w:r>
    </w:p>
    <w:p>
      <w:pPr>
        <w:pStyle w:val="Heading2"/>
        <w:spacing w:after="100" w:before="260"/>
      </w:pPr>
      <w:r>
        <w:rPr>
          <w:b/>
          <w:bCs/>
          <w:color w:val="0E6B57"/>
          <w:sz w:val="23"/>
          <w:szCs w:val="23"/>
        </w:rPr>
        <w:t xml:space="preserve">Dormant, not deleted</w:t>
      </w:r>
    </w:p>
    <w:p>
      <w:pPr>
        <w:spacing w:after="140" w:line="276"/>
      </w:pPr>
      <w:r>
        <w:rPr>
          <w:color w:val="23282E"/>
          <w:sz w:val="21"/>
          <w:szCs w:val="21"/>
        </w:rPr>
        <w:t xml:space="preserve">Precedent retrieval, risk-indicator ingestion, the request planner, and the Dossier/Casework screens are fully built and tested against the planning-era scope, simply not wired into the current two-job flow. They are cheap to keep and expensive to rebuild, and are the natural next modules to reactivate as scope grows.</w:t>
      </w:r>
    </w:p>
    <w:p>
      <w:pPr>
        <w:pStyle w:val="Heading2"/>
        <w:spacing w:after="100" w:before="260"/>
      </w:pPr>
      <w:r>
        <w:rPr>
          <w:b/>
          <w:bCs/>
          <w:color w:val="0E6B57"/>
          <w:sz w:val="23"/>
          <w:szCs w:val="23"/>
        </w:rPr>
        <w:t xml:space="preserve">The Auditor Knowledge governed library (planned)</w:t>
      </w:r>
    </w:p>
    <w:p>
      <w:pPr>
        <w:spacing w:after="140" w:line="276"/>
      </w:pPr>
      <w:r>
        <w:rPr>
          <w:color w:val="23282E"/>
          <w:sz w:val="21"/>
          <w:szCs w:val="21"/>
        </w:rPr>
        <w:t xml:space="preserve">The next phase pairs two things deliberately: a governed rule library — an auditor submits a candidate rule, a subject-matter expert validates it, and only an approved rule becomes retrievable — with retrieval-augmented generation trained on official ZATCA VAT and e-invoicing law and regulations. The two are built together on purpose: a model retrained on every unreviewed submission risks one auditor's mistake contaminating the whole system, so the library exists specifically to be retrieved from, never trained into a model directly.</w:t>
      </w:r>
    </w:p>
    <w:p>
      <w:pPr>
        <w:pStyle w:val="Heading2"/>
        <w:spacing w:after="100" w:before="260"/>
      </w:pPr>
      <w:r>
        <w:rPr>
          <w:b/>
          <w:bCs/>
          <w:color w:val="0E6B57"/>
          <w:sz w:val="23"/>
          <w:szCs w:val="23"/>
        </w:rPr>
        <w:t xml:space="preserve">Inputs still needed from the auditors</w:t>
      </w:r>
    </w:p>
    <w:p>
      <w:pPr>
        <w:pStyle w:val="ListParagraph"/>
        <w:numPr>
          <w:ilvl w:val="0"/>
          <w:numId w:val="2"/>
        </w:numPr>
        <w:spacing w:after="80" w:line="268"/>
      </w:pPr>
      <w:r>
        <w:rPr>
          <w:color w:val="23282E"/>
          <w:sz w:val="21"/>
          <w:szCs w:val="21"/>
        </w:rPr>
        <w:t xml:space="preserve">A real (redacted) information-request email, so the completeness checker's cue table reflects how auditors actually phrase requests.</w:t>
      </w:r>
    </w:p>
    <w:p>
      <w:pPr>
        <w:pStyle w:val="ListParagraph"/>
        <w:numPr>
          <w:ilvl w:val="0"/>
          <w:numId w:val="2"/>
        </w:numPr>
        <w:spacing w:after="80" w:line="268"/>
      </w:pPr>
      <w:r>
        <w:rPr>
          <w:color w:val="23282E"/>
          <w:sz w:val="21"/>
          <w:szCs w:val="21"/>
        </w:rPr>
        <w:t xml:space="preserve">The regulations articles behind the Regulations agent's deductibility and invoice-validity checks, so its current placeholder blocked-category list becomes a real, citable lookup.</w:t>
      </w:r>
    </w:p>
    <w:p>
      <w:pPr>
        <w:pStyle w:val="ListParagraph"/>
        <w:numPr>
          <w:ilvl w:val="0"/>
          <w:numId w:val="2"/>
        </w:numPr>
        <w:spacing w:after="80" w:line="268"/>
      </w:pPr>
      <w:r>
        <w:rPr>
          <w:color w:val="23282E"/>
          <w:sz w:val="21"/>
          <w:szCs w:val="21"/>
        </w:rPr>
        <w:t xml:space="preserve">The official ZATCA tax-point source documents, to verify the four candidate timing rules above before they are wired into the live engine.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2026-08-21T06:29:44.990Z</dcterms:created>
  <dcterms:modified xsi:type="dcterms:W3CDTF">2026-08-21T06:29:44.990Z</dcterms:modified>
</cp:coreProperties>
</file>

<file path=docProps/custom.xml><?xml version="1.0" encoding="utf-8"?>
<Properties xmlns="http://schemas.openxmlformats.org/officeDocument/2006/custom-properties" xmlns:vt="http://schemas.openxmlformats.org/officeDocument/2006/docPropsVTypes"/>
</file>