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2A4A"/>
          <w:sz w:val="56"/>
          <w:szCs w:val="56"/>
        </w:rPr>
        <w:t xml:space="preserve">E-AUDIT</w:t>
      </w:r>
    </w:p>
    <w:p>
      <w:pPr>
        <w:spacing w:after="220"/>
      </w:pPr>
      <w:r>
        <w:rPr>
          <w:b/>
          <w:bCs/>
          <w:color w:val="0E6B57"/>
          <w:sz w:val="26"/>
          <w:szCs w:val="26"/>
        </w:rPr>
        <w:t xml:space="preserve">AI-Assisted VAT Audit Agent for ZATCA — Solution Overview</w:t>
      </w:r>
    </w:p>
    <w:p>
      <w:pPr>
        <w:spacing w:after="60"/>
      </w:pPr>
      <w:r>
        <w:rPr>
          <w:b/>
          <w:bCs/>
          <w:color w:val="1B2A4A"/>
          <w:sz w:val="19"/>
          <w:szCs w:val="19"/>
        </w:rPr>
        <w:t xml:space="preserve">Status  </w:t>
      </w:r>
      <w:r>
        <w:rPr>
          <w:color w:val="23282E"/>
          <w:sz w:val="19"/>
          <w:szCs w:val="19"/>
        </w:rPr>
        <w:t xml:space="preserve">Proof of concept / stakeholder demo. Synthetic data only.</w:t>
      </w:r>
    </w:p>
    <w:p>
      <w:pPr>
        <w:spacing w:after="60"/>
      </w:pPr>
      <w:r>
        <w:rPr>
          <w:b/>
          <w:bCs/>
          <w:color w:val="1B2A4A"/>
          <w:sz w:val="19"/>
          <w:szCs w:val="19"/>
        </w:rPr>
        <w:t xml:space="preserve">Core invariant  </w:t>
      </w:r>
      <w:r>
        <w:rPr>
          <w:color w:val="23282E"/>
          <w:sz w:val="19"/>
          <w:szCs w:val="19"/>
        </w:rPr>
        <w:t xml:space="preserve">The deterministic engine computes every number. Language models write words only, and every drafted claim is verified against engine facts before it is shown. A human auditor approves everything that leaves the building.</w:t>
      </w:r>
    </w:p>
    <w:p>
      <w:pPr>
        <w:spacing w:after="300"/>
      </w:pPr>
      <w:r>
        <w:rPr>
          <w:b/>
          <w:bCs/>
          <w:color w:val="1B2A4A"/>
          <w:sz w:val="19"/>
          <w:szCs w:val="19"/>
        </w:rPr>
        <w:t xml:space="preserve">Date  </w:t>
      </w:r>
      <w:r>
        <w:rPr>
          <w:color w:val="23282E"/>
          <w:sz w:val="19"/>
          <w:szCs w:val="19"/>
        </w:rPr>
        <w:t xml:space="preserve">21 August 2026</w:t>
      </w:r>
    </w:p>
    <w:p>
      <w:pPr>
        <w:pBdr>
          <w:bottom w:val="single" w:color="C9D2CE" w:sz="4" w:space="1"/>
        </w:pBdr>
        <w:spacing w:after="200"/>
      </w:pPr>
      <w:r>
        <w:rPr>
          <w:sz w:val="2"/>
          <w:szCs w:val="2"/>
        </w:rPr>
        <w:t xml:space="preserve"/>
      </w:r>
    </w:p>
    <w:p>
      <w:pPr>
        <w:pStyle w:val="Heading1"/>
        <w:pBdr>
          <w:bottom w:val="single" w:color="0E6B57" w:sz="6" w:space="4"/>
        </w:pBdr>
        <w:spacing w:after="160" w:before="420"/>
      </w:pPr>
      <w:r>
        <w:rPr>
          <w:b/>
          <w:bCs/>
          <w:color w:val="1B2A4A"/>
          <w:sz w:val="28"/>
          <w:szCs w:val="28"/>
        </w:rPr>
        <w:t xml:space="preserve">1. Objective &amp; Overview</w:t>
      </w:r>
    </w:p>
    <w:p>
      <w:pPr>
        <w:spacing w:after="140" w:line="276"/>
      </w:pPr>
      <w:r>
        <w:rPr>
          <w:color w:val="23282E"/>
          <w:sz w:val="21"/>
          <w:szCs w:val="21"/>
        </w:rPr>
        <w:t xml:space="preserve">E-AUDIT is a multi-agent AI system built for ZATCA (the Saudi Zakat, Tax and Customs Authority), as a stakeholder demo and proof of concept — four AI agents, an orchestrator, and seven separate AI calls that read documents, interpret free text, and actively recommend the auditor's next move. It begins the moment a taxpayer's documents arrive — not upstream of that, and not from a pre-computed risk-engine output. Everything the system needs is in the files the taxpayer actually sent.</w:t>
      </w:r>
    </w:p>
    <w:p>
      <w:pPr>
        <w:spacing w:after="140" w:line="276"/>
      </w:pPr>
      <w:r>
        <w:rPr>
          <w:color w:val="23282E"/>
          <w:sz w:val="21"/>
          <w:szCs w:val="21"/>
        </w:rPr>
        <w:t xml:space="preserve">The objective, in one sentence: let an auditor spend their time on the cases that are genuinely wrong, supported at every step by AI that reads their documents, interprets their own stated methods, and recommends what to do next — instead of chasing paperwork or re-deriving arithmetic by hand.</w:t>
      </w:r>
    </w:p>
    <w:p>
      <w:pPr>
        <w:pStyle w:val="Heading2"/>
        <w:spacing w:after="100" w:before="260"/>
      </w:pPr>
      <w:r>
        <w:rPr>
          <w:b/>
          <w:bCs/>
          <w:color w:val="0E6B57"/>
          <w:sz w:val="23"/>
          <w:szCs w:val="23"/>
        </w:rPr>
        <w:t xml:space="preserve">The two jobs, in order</w:t>
      </w:r>
    </w:p>
    <w:p>
      <w:pPr>
        <w:pStyle w:val="ListParagraph"/>
        <w:numPr>
          <w:ilvl w:val="0"/>
          <w:numId w:val="2"/>
        </w:numPr>
        <w:spacing w:after="90" w:line="268"/>
      </w:pPr>
      <w:r>
        <w:rPr>
          <w:b/>
          <w:bCs/>
          <w:color w:val="1B2A4A"/>
          <w:sz w:val="21"/>
          <w:szCs w:val="21"/>
        </w:rPr>
        <w:t xml:space="preserve">Did we get what we asked for? </w:t>
      </w:r>
      <w:r>
        <w:rPr>
          <w:b w:val="false"/>
          <w:bCs w:val="false"/>
          <w:color w:val="23282E"/>
          <w:sz w:val="21"/>
          <w:szCs w:val="21"/>
        </w:rPr>
        <w:t xml:space="preserve">The auditor pastes the email they actually sent; it is parsed into a checkable specification, which the auditor confirms. The uploaded spreadsheets are then compared against that specification — missing items, missing columns, blank mandatory fields, period coverage, and totals that do not foot — and the chase email is drafted from the gaps alone.</w:t>
      </w:r>
    </w:p>
    <w:p>
      <w:pPr>
        <w:pStyle w:val="ListParagraph"/>
        <w:numPr>
          <w:ilvl w:val="0"/>
          <w:numId w:val="2"/>
        </w:numPr>
        <w:spacing w:after="90" w:line="268"/>
      </w:pPr>
      <w:r>
        <w:rPr>
          <w:b/>
          <w:bCs/>
          <w:color w:val="1B2A4A"/>
          <w:sz w:val="21"/>
          <w:szCs w:val="21"/>
        </w:rPr>
        <w:t xml:space="preserve">What does it mean? </w:t>
      </w:r>
      <w:r>
        <w:rPr>
          <w:b w:val="false"/>
          <w:bCs w:val="false"/>
          <w:color w:val="23282E"/>
          <w:sz w:val="21"/>
          <w:szCs w:val="21"/>
        </w:rPr>
        <w:t xml:space="preserve">The engine decides which uploaded lines qualify for the box and the period, sums them into an expected VAT return, and compares that against what was declared. Four AI agents propose findings; a deterministic adjudicator settles them; the system then recommends the single next best action to the auditor.</w:t>
      </w:r>
    </w:p>
    <w:p>
      <w:pPr>
        <w:spacing w:after="140" w:line="276"/>
      </w:pPr>
      <w:r>
        <w:rPr>
          <w:color w:val="23282E"/>
          <w:sz w:val="21"/>
          <w:szCs w:val="21"/>
        </w:rPr>
        <w:t xml:space="preserve">Both the output side (standard-rated sales) and the input side (standard-rated purchases) are qualified and reconciled separately, using the same machinery. A third box — zero-rated domestic sales — is reconciled the same way, and a fourth strand (imports, reverse-charge, prior-period corrections, rounding) is counted wherever the taxpayer's own documents support it and the auditor confirms it; see Section 4.</w:t>
      </w:r>
    </w:p>
    <w:p>
      <w:pPr>
        <w:pStyle w:val="Heading2"/>
        <w:spacing w:after="100" w:before="260"/>
      </w:pPr>
      <w:r>
        <w:rPr>
          <w:b/>
          <w:bCs/>
          <w:color w:val="0E6B57"/>
          <w:sz w:val="23"/>
          <w:szCs w:val="23"/>
        </w:rPr>
        <w:t xml:space="preserve">Is this actually AI? Yes — here is precisely how</w:t>
      </w:r>
    </w:p>
    <w:p>
      <w:pPr>
        <w:spacing w:after="140" w:line="276"/>
      </w:pPr>
      <w:r>
        <w:rPr>
          <w:color w:val="23282E"/>
          <w:sz w:val="21"/>
          <w:szCs w:val="21"/>
        </w:rPr>
        <w:t xml:space="preserve">Multiple agents: four of them (Regulations, Data Entry, Calculation, Evidence &amp; Coverage), each proposing what is worth testing over the taxpayer's own documents. An orchestrator: a bounded, five-round investigation that runs those agents, settles their hypotheses, challenges the leading one, and reaches a conclusion (Section 10). AI that reads documents and interprets an auditor's own words: when an auditor describes how they calculated a figure in a sentence — “I summed the VAT column, excluding January” — a model reads that sentence and turns it into a structured query; a deterministic engine then runs the query and produces the number. AI that recommends the next best action: a dedicated, schema-validated call decides the single piece of evidence that would confirm or clear the case, not a canned message. AI that writes every outbound document: the taxpayer brief, the information request, the follow-up chase, the verdict letter, and the audit report itself are all drafted live by the model, not templated.</w:t>
      </w:r>
    </w:p>
    <w:p>
      <w:pPr>
        <w:spacing w:after="140" w:line="276"/>
      </w:pPr>
      <w:r>
        <w:rPr>
          <w:color w:val="23282E"/>
          <w:sz w:val="21"/>
          <w:szCs w:val="21"/>
        </w:rPr>
        <w:t xml:space="preserve">The one place the AI is deliberately kept out is stating a number. Every figure that reaches a report is computed by deterministic Python, and every AI-drafted sentence is checked against those numbers before it is shown — with a corrective retry, then an honest fallback if it still does not check out. That is not an absence of AI. It is the one design decision that lets a taxpayer, or a tribunal, trust the number in the first place: nothing that leaves the building is a model's guess. Section 10 lists exactly what each of the seven AI features does, and what it deliberately does not.</w:t>
      </w:r>
    </w:p>
    <w:p>
      <w:pPr>
        <w:pStyle w:val="Heading1"/>
        <w:pBdr>
          <w:bottom w:val="single" w:color="0E6B57" w:sz="6" w:space="4"/>
        </w:pBdr>
        <w:spacing w:after="160" w:before="420"/>
      </w:pPr>
      <w:r>
        <w:rPr>
          <w:b/>
          <w:bCs/>
          <w:color w:val="1B2A4A"/>
          <w:sz w:val="28"/>
          <w:szCs w:val="28"/>
        </w:rPr>
        <w:t xml:space="preserve">2. Why This Project Matters</w:t>
      </w:r>
    </w:p>
    <w:p>
      <w:pPr>
        <w:spacing w:after="140" w:line="276"/>
      </w:pPr>
      <w:r>
        <w:rPr>
          <w:color w:val="23282E"/>
          <w:sz w:val="21"/>
          <w:szCs w:val="21"/>
        </w:rPr>
        <w:t xml:space="preserve">AI inside a tax-audit workflow carries a specific risk that a normal software project does not: a hallucinated or unverifiable figure inside a report is not a UX defect, it is a legal liability. A finding a taxpayer can contest, or a number that cannot be traced back to a document, undermines the whole audit.</w:t>
      </w:r>
    </w:p>
    <w:p>
      <w:pPr>
        <w:pStyle w:val="ListParagraph"/>
        <w:numPr>
          <w:ilvl w:val="0"/>
          <w:numId w:val="2"/>
        </w:numPr>
        <w:spacing w:after="90" w:line="268"/>
      </w:pPr>
      <w:r>
        <w:rPr>
          <w:b/>
          <w:bCs/>
          <w:color w:val="1B2A4A"/>
          <w:sz w:val="21"/>
          <w:szCs w:val="21"/>
        </w:rPr>
        <w:t xml:space="preserve">It is defensible by construction. </w:t>
      </w:r>
      <w:r>
        <w:rPr>
          <w:b w:val="false"/>
          <w:bCs w:val="false"/>
          <w:color w:val="23282E"/>
          <w:sz w:val="21"/>
          <w:szCs w:val="21"/>
        </w:rPr>
        <w:t xml:space="preserve">Every number in the system comes from deterministic Python — never from a model. Every sentence a model drafts is checked against the engine's own facts before display, with a corrective retry and then an honest deterministic fallback if verification still fails. That is also why the whole application, including the letters and the investigation, works correctly with no API key at all: degrading to the deterministic path costs polish, never correctness.</w:t>
      </w:r>
    </w:p>
    <w:p>
      <w:pPr>
        <w:pStyle w:val="ListParagraph"/>
        <w:numPr>
          <w:ilvl w:val="0"/>
          <w:numId w:val="2"/>
        </w:numPr>
        <w:spacing w:after="90" w:line="268"/>
      </w:pPr>
      <w:r>
        <w:rPr>
          <w:b/>
          <w:bCs/>
          <w:color w:val="1B2A4A"/>
          <w:sz w:val="21"/>
          <w:szCs w:val="21"/>
        </w:rPr>
        <w:t xml:space="preserve">It targets real, named time costs. </w:t>
      </w:r>
      <w:r>
        <w:rPr>
          <w:b w:val="false"/>
          <w:bCs w:val="false"/>
          <w:color w:val="23282E"/>
          <w:sz w:val="21"/>
          <w:szCs w:val="21"/>
        </w:rPr>
        <w:t xml:space="preserve">Most of what auditors described spending their time on (Section 3) is checkable structure, not judgement. Automating the checkable part is a direct multiplier on auditor capacity, without asking anyone to trust an AI-authored figure.</w:t>
      </w:r>
    </w:p>
    <w:p>
      <w:pPr>
        <w:pStyle w:val="ListParagraph"/>
        <w:numPr>
          <w:ilvl w:val="0"/>
          <w:numId w:val="2"/>
        </w:numPr>
        <w:spacing w:after="90" w:line="268"/>
      </w:pPr>
      <w:r>
        <w:rPr>
          <w:b/>
          <w:bCs/>
          <w:color w:val="1B2A4A"/>
          <w:sz w:val="21"/>
          <w:szCs w:val="21"/>
        </w:rPr>
        <w:t xml:space="preserve">It reduces unnecessary taxpayer contact. </w:t>
      </w:r>
      <w:r>
        <w:rPr>
          <w:b w:val="false"/>
          <w:bCs w:val="false"/>
          <w:color w:val="23282E"/>
          <w:sz w:val="21"/>
          <w:szCs w:val="21"/>
        </w:rPr>
        <w:t xml:space="preserve">A difference between declared and expected is not automatically a finding — it becomes one only once it is material, unexplained after every qualification rule has had its say, and not accounted for by any pattern the investigation layer can test. Differences with an innocent, evidenced explanation are resolved from data already on file, not escalated.</w:t>
      </w:r>
    </w:p>
    <w:p>
      <w:pPr>
        <w:pStyle w:val="Heading1"/>
        <w:pBdr>
          <w:bottom w:val="single" w:color="0E6B57" w:sz="6" w:space="4"/>
        </w:pBdr>
        <w:spacing w:after="160" w:before="420"/>
      </w:pPr>
      <w:r>
        <w:rPr>
          <w:b/>
          <w:bCs/>
          <w:color w:val="1B2A4A"/>
          <w:sz w:val="28"/>
          <w:szCs w:val="28"/>
        </w:rPr>
        <w:t xml:space="preserve">3. Challenges Faced by the Audit Team</w:t>
      </w:r>
    </w:p>
    <w:p>
      <w:pPr>
        <w:spacing w:after="140" w:line="276"/>
      </w:pPr>
      <w:r>
        <w:rPr>
          <w:color w:val="23282E"/>
          <w:sz w:val="21"/>
          <w:szCs w:val="21"/>
        </w:rPr>
        <w:t xml:space="preserve">This project exists because of four pain points the auditors described directly, and which recur throughout the codebase's own design rationale (each is named at the point in the system that answers it):</w:t>
      </w:r>
    </w:p>
    <w:p>
      <w:pPr>
        <w:pStyle w:val="ListParagraph"/>
        <w:numPr>
          <w:ilvl w:val="0"/>
          <w:numId w:val="2"/>
        </w:numPr>
        <w:spacing w:after="90" w:line="268"/>
      </w:pPr>
      <w:r>
        <w:rPr>
          <w:b/>
          <w:bCs/>
          <w:color w:val="1B2A4A"/>
          <w:sz w:val="21"/>
          <w:szCs w:val="21"/>
        </w:rPr>
        <w:t xml:space="preserve">Correspondence takes months. </w:t>
      </w:r>
      <w:r>
        <w:rPr>
          <w:b w:val="false"/>
          <w:bCs w:val="false"/>
          <w:color w:val="23282E"/>
          <w:sz w:val="21"/>
          <w:szCs w:val="21"/>
        </w:rPr>
        <w:t xml:space="preserve">Each round of taxpayer response can cost weeks, and a queue that cannot tell “waiting on the taxpayer” apart from “waiting on the auditor” cannot be prioritised.</w:t>
      </w:r>
    </w:p>
    <w:p>
      <w:pPr>
        <w:pStyle w:val="ListParagraph"/>
        <w:numPr>
          <w:ilvl w:val="0"/>
          <w:numId w:val="2"/>
        </w:numPr>
        <w:spacing w:after="90" w:line="268"/>
      </w:pPr>
      <w:r>
        <w:rPr>
          <w:b/>
          <w:bCs/>
          <w:color w:val="1B2A4A"/>
          <w:sz w:val="21"/>
          <w:szCs w:val="21"/>
        </w:rPr>
        <w:t xml:space="preserve">Most review time goes to structure, not substance. </w:t>
      </w:r>
      <w:r>
        <w:rPr>
          <w:b w:val="false"/>
          <w:bCs w:val="false"/>
          <w:color w:val="23282E"/>
          <w:sz w:val="21"/>
          <w:szCs w:val="21"/>
        </w:rPr>
        <w:t xml:space="preserve">Checking a response for missing items, missing columns, blank fields and totals that do not foot happens before a single tax question can even be asked.</w:t>
      </w:r>
    </w:p>
    <w:p>
      <w:pPr>
        <w:pStyle w:val="ListParagraph"/>
        <w:numPr>
          <w:ilvl w:val="0"/>
          <w:numId w:val="2"/>
        </w:numPr>
        <w:spacing w:after="90" w:line="268"/>
      </w:pPr>
      <w:r>
        <w:rPr>
          <w:b/>
          <w:bCs/>
          <w:color w:val="1B2A4A"/>
          <w:sz w:val="21"/>
          <w:szCs w:val="21"/>
        </w:rPr>
        <w:t xml:space="preserve">Internal data is fragmented across systems. </w:t>
      </w:r>
      <w:r>
        <w:rPr>
          <w:b w:val="false"/>
          <w:bCs w:val="false"/>
          <w:color w:val="23282E"/>
          <w:sz w:val="21"/>
          <w:szCs w:val="21"/>
        </w:rPr>
        <w:t xml:space="preserve">Before an auditor can say what is genuinely missing, they have to open several separate systems just to see what ZATCA already holds about the taxpayer.</w:t>
      </w:r>
    </w:p>
    <w:p>
      <w:pPr>
        <w:pStyle w:val="ListParagraph"/>
        <w:numPr>
          <w:ilvl w:val="0"/>
          <w:numId w:val="2"/>
        </w:numPr>
        <w:spacing w:after="90" w:line="268"/>
      </w:pPr>
      <w:r>
        <w:rPr>
          <w:b/>
          <w:bCs/>
          <w:color w:val="1B2A4A"/>
          <w:sz w:val="21"/>
          <w:szCs w:val="21"/>
        </w:rPr>
        <w:t xml:space="preserve">Institutional knowledge lives in individual auditors. </w:t>
      </w:r>
      <w:r>
        <w:rPr>
          <w:b w:val="false"/>
          <w:bCs w:val="false"/>
          <w:color w:val="23282E"/>
          <w:sz w:val="21"/>
          <w:szCs w:val="21"/>
        </w:rPr>
        <w:t xml:space="preserve">Regulatory interpretation, sector patterns and lessons learned from past cases are not retrievable from anywhere a system can reach — every auditor re-derives them from experience.</w:t>
      </w:r>
    </w:p>
    <w:p>
      <w:pPr>
        <w:pStyle w:val="Heading1"/>
        <w:pBdr>
          <w:bottom w:val="single" w:color="0E6B57" w:sz="6" w:space="4"/>
        </w:pBdr>
        <w:spacing w:after="160" w:before="420"/>
      </w:pPr>
      <w:r>
        <w:rPr>
          <w:b/>
          <w:bCs/>
          <w:color w:val="1B2A4A"/>
          <w:sz w:val="28"/>
          <w:szCs w:val="28"/>
        </w:rPr>
        <w:t xml:space="preserve">4. Scope vs. Out of Scope</w:t>
      </w:r>
    </w:p>
    <w:p>
      <w:pPr>
        <w:spacing w:after="160" w:line="280"/>
      </w:pPr>
      <w:r>
        <w:rPr>
          <w:i/>
          <w:iCs/>
          <w:color w:val="5B6472"/>
          <w:sz w:val="21"/>
          <w:szCs w:val="21"/>
        </w:rPr>
        <w:t xml:space="preserve">“This demo starts when the taxpayer's documents arrive. It checks them against the request that was sent, then reconciles the standard-rated sales and purchase boxes for a single quarter from the records supplied. Everything below the line is a real part of the problem that this PoC does not attempt.”</w:t>
      </w:r>
    </w:p>
    <w:p>
      <w:pPr>
        <w:pStyle w:val="Heading2"/>
        <w:spacing w:after="100" w:before="260"/>
      </w:pPr>
      <w:r>
        <w:rPr>
          <w:b/>
          <w:bCs/>
          <w:color w:val="0E6B57"/>
          <w:sz w:val="23"/>
          <w:szCs w:val="23"/>
        </w:rPr>
        <w:t xml:space="preserve">In scope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c>
          <w:tcPr>
            <w:tcW w:type="dxa" w:w="2600"/>
            <w:shd w:fill="1B2A4A" w:val="clear"/>
            <w:tcMar>
              <w:top w:type="dxa" w:w="90"/>
              <w:left w:type="dxa" w:w="120"/>
              <w:bottom w:type="dxa" w:w="90"/>
              <w:right w:type="dxa" w:w="120"/>
            </w:tcMar>
          </w:tcPr>
          <w:p>
            <w:r>
              <w:rPr>
                <w:b/>
                <w:bCs/>
                <w:color w:val="FFFFFF"/>
                <w:sz w:val="19"/>
                <w:szCs w:val="19"/>
              </w:rPr>
              <w:t xml:space="preserve">Item</w:t>
            </w:r>
          </w:p>
        </w:tc>
        <w:tc>
          <w:tcPr>
            <w:tcW w:type="dxa" w:w="6900"/>
            <w:shd w:fill="1B2A4A" w:val="clear"/>
            <w:tcMar>
              <w:top w:type="dxa" w:w="90"/>
              <w:left w:type="dxa" w:w="120"/>
              <w:bottom w:type="dxa" w:w="90"/>
              <w:right w:type="dxa" w:w="120"/>
            </w:tcMar>
          </w:tcPr>
          <w:p>
            <w:r>
              <w:rPr>
                <w:b/>
                <w:bCs/>
                <w:color w:val="FFFFFF"/>
                <w:sz w:val="19"/>
                <w:szCs w:val="19"/>
              </w:rPr>
              <w:t xml:space="preserve">What it covers</w:t>
            </w:r>
          </w:p>
        </w:tc>
      </w:tr>
      <w:tr>
        <w:tc>
          <w:tcPr>
            <w:tcW w:type="dxa" w:w="2600"/>
            <w:tcMar>
              <w:top w:type="dxa" w:w="90"/>
              <w:left w:type="dxa" w:w="120"/>
              <w:bottom w:type="dxa" w:w="90"/>
              <w:right w:type="dxa" w:w="120"/>
            </w:tcMar>
          </w:tcPr>
          <w:p>
            <w:r>
              <w:rPr>
                <w:b w:val="false"/>
                <w:bCs w:val="false"/>
                <w:color w:val="23282E"/>
                <w:sz w:val="19"/>
                <w:szCs w:val="19"/>
              </w:rPr>
              <w:t xml:space="preserve">Was the response what we asked for</w:t>
            </w:r>
          </w:p>
        </w:tc>
        <w:tc>
          <w:tcPr>
            <w:tcW w:type="dxa" w:w="6900"/>
            <w:tcMar>
              <w:top w:type="dxa" w:w="90"/>
              <w:left w:type="dxa" w:w="120"/>
              <w:bottom w:type="dxa" w:w="90"/>
              <w:right w:type="dxa" w:w="120"/>
            </w:tcMar>
          </w:tcPr>
          <w:p>
            <w:r>
              <w:rPr>
                <w:b w:val="false"/>
                <w:bCs w:val="false"/>
                <w:color w:val="23282E"/>
                <w:sz w:val="19"/>
                <w:szCs w:val="19"/>
              </w:rPr>
              <w:t xml:space="preserve">The auditor's request email becomes a checkable spec; spreadsheets are tested against it for missing items/columns, blank mandatory fields, period coverage, totals that do not foot.</w:t>
            </w:r>
          </w:p>
        </w:tc>
      </w:tr>
      <w:tr>
        <w:tc>
          <w:tcPr>
            <w:tcW w:type="dxa" w:w="2600"/>
            <w:shd w:fill="EFF3F1" w:val="clear"/>
            <w:tcMar>
              <w:top w:type="dxa" w:w="90"/>
              <w:left w:type="dxa" w:w="120"/>
              <w:bottom w:type="dxa" w:w="90"/>
              <w:right w:type="dxa" w:w="120"/>
            </w:tcMar>
          </w:tcPr>
          <w:p>
            <w:r>
              <w:rPr>
                <w:b w:val="false"/>
                <w:bCs w:val="false"/>
                <w:color w:val="23282E"/>
                <w:sz w:val="19"/>
                <w:szCs w:val="19"/>
              </w:rPr>
              <w:t xml:space="preserve">Standard-rated sales (output VAT)</w:t>
            </w:r>
          </w:p>
        </w:tc>
        <w:tc>
          <w:tcPr>
            <w:tcW w:type="dxa" w:w="6900"/>
            <w:shd w:fill="EFF3F1" w:val="clear"/>
            <w:tcMar>
              <w:top w:type="dxa" w:w="90"/>
              <w:left w:type="dxa" w:w="120"/>
              <w:bottom w:type="dxa" w:w="90"/>
              <w:right w:type="dxa" w:w="120"/>
            </w:tcMar>
          </w:tcPr>
          <w:p>
            <w:r>
              <w:rPr>
                <w:b w:val="false"/>
                <w:bCs w:val="false"/>
                <w:color w:val="23282E"/>
                <w:sz w:val="19"/>
                <w:szCs w:val="19"/>
              </w:rPr>
              <w:t xml:space="preserve">Summed from the lines of the taxpayer's own listing that qualify for this box and period. The e-invoice feed is the fallback where nothing was uploaded.</w:t>
            </w:r>
          </w:p>
        </w:tc>
      </w:tr>
      <w:tr>
        <w:tc>
          <w:tcPr>
            <w:tcW w:type="dxa" w:w="2600"/>
            <w:tcMar>
              <w:top w:type="dxa" w:w="90"/>
              <w:left w:type="dxa" w:w="120"/>
              <w:bottom w:type="dxa" w:w="90"/>
              <w:right w:type="dxa" w:w="120"/>
            </w:tcMar>
          </w:tcPr>
          <w:p>
            <w:r>
              <w:rPr>
                <w:b w:val="false"/>
                <w:bCs w:val="false"/>
                <w:color w:val="23282E"/>
                <w:sz w:val="19"/>
                <w:szCs w:val="19"/>
              </w:rPr>
              <w:t xml:space="preserve">Standard-rated purchases (input VAT)</w:t>
            </w:r>
          </w:p>
        </w:tc>
        <w:tc>
          <w:tcPr>
            <w:tcW w:type="dxa" w:w="6900"/>
            <w:tcMar>
              <w:top w:type="dxa" w:w="90"/>
              <w:left w:type="dxa" w:w="120"/>
              <w:bottom w:type="dxa" w:w="90"/>
              <w:right w:type="dxa" w:w="120"/>
            </w:tcMar>
          </w:tcPr>
          <w:p>
            <w:r>
              <w:rPr>
                <w:b w:val="false"/>
                <w:bCs w:val="false"/>
                <w:color w:val="23282E"/>
                <w:sz w:val="19"/>
                <w:szCs w:val="19"/>
              </w:rPr>
              <w:t xml:space="preserve">The same, on the purchase side — documents on which this taxpayer is the buyer.</w:t>
            </w:r>
          </w:p>
        </w:tc>
      </w:tr>
      <w:tr>
        <w:tc>
          <w:tcPr>
            <w:tcW w:type="dxa" w:w="2600"/>
            <w:shd w:fill="EFF3F1" w:val="clear"/>
            <w:tcMar>
              <w:top w:type="dxa" w:w="90"/>
              <w:left w:type="dxa" w:w="120"/>
              <w:bottom w:type="dxa" w:w="90"/>
              <w:right w:type="dxa" w:w="120"/>
            </w:tcMar>
          </w:tcPr>
          <w:p>
            <w:r>
              <w:rPr>
                <w:b w:val="false"/>
                <w:bCs w:val="false"/>
                <w:color w:val="23282E"/>
                <w:sz w:val="19"/>
                <w:szCs w:val="19"/>
              </w:rPr>
              <w:t xml:space="preserve">Zero-rated domestic sales</w:t>
            </w:r>
          </w:p>
        </w:tc>
        <w:tc>
          <w:tcPr>
            <w:tcW w:type="dxa" w:w="6900"/>
            <w:shd w:fill="EFF3F1" w:val="clear"/>
            <w:tcMar>
              <w:top w:type="dxa" w:w="90"/>
              <w:left w:type="dxa" w:w="120"/>
              <w:bottom w:type="dxa" w:w="90"/>
              <w:right w:type="dxa" w:w="120"/>
            </w:tcMar>
          </w:tcPr>
          <w:p>
            <w:r>
              <w:rPr>
                <w:b w:val="false"/>
                <w:bCs w:val="false"/>
                <w:color w:val="23282E"/>
                <w:sz w:val="19"/>
                <w:szCs w:val="19"/>
              </w:rPr>
              <w:t xml:space="preserve">A second reconciliation box, qualified and summed the same way — scoped to category Z / rate 0% — and compared against the return's own declared zero-rated box. No timing or credit-note rules are wired for it yet: a first, honest comparison, not the full standard-rated pipeline.</w:t>
            </w:r>
          </w:p>
        </w:tc>
      </w:tr>
      <w:tr>
        <w:tc>
          <w:tcPr>
            <w:tcW w:type="dxa" w:w="2600"/>
            <w:tcMar>
              <w:top w:type="dxa" w:w="90"/>
              <w:left w:type="dxa" w:w="120"/>
              <w:bottom w:type="dxa" w:w="90"/>
              <w:right w:type="dxa" w:w="120"/>
            </w:tcMar>
          </w:tcPr>
          <w:p>
            <w:r>
              <w:rPr>
                <w:b w:val="false"/>
                <w:bCs w:val="false"/>
                <w:color w:val="23282E"/>
                <w:sz w:val="19"/>
                <w:szCs w:val="19"/>
              </w:rPr>
              <w:t xml:space="preserve">Four AI agents over the records received</w:t>
            </w:r>
          </w:p>
        </w:tc>
        <w:tc>
          <w:tcPr>
            <w:tcW w:type="dxa" w:w="6900"/>
            <w:tcMar>
              <w:top w:type="dxa" w:w="90"/>
              <w:left w:type="dxa" w:w="120"/>
              <w:bottom w:type="dxa" w:w="90"/>
              <w:right w:type="dxa" w:w="120"/>
            </w:tcMar>
          </w:tcPr>
          <w:p>
            <w:r>
              <w:rPr>
                <w:b w:val="false"/>
                <w:bCs w:val="false"/>
                <w:color w:val="23282E"/>
                <w:sz w:val="19"/>
                <w:szCs w:val="19"/>
              </w:rPr>
              <w:t xml:space="preserve">Regulations, Data Entry, Calculation and Evidence &amp; Coverage each propose what is worth testing; a deterministic adjudicator settles every one.</w:t>
            </w:r>
          </w:p>
        </w:tc>
      </w:tr>
      <w:tr>
        <w:tc>
          <w:tcPr>
            <w:tcW w:type="dxa" w:w="2600"/>
            <w:shd w:fill="EFF3F1" w:val="clear"/>
            <w:tcMar>
              <w:top w:type="dxa" w:w="90"/>
              <w:left w:type="dxa" w:w="120"/>
              <w:bottom w:type="dxa" w:w="90"/>
              <w:right w:type="dxa" w:w="120"/>
            </w:tcMar>
          </w:tcPr>
          <w:p>
            <w:r>
              <w:rPr>
                <w:b w:val="false"/>
                <w:bCs w:val="false"/>
                <w:color w:val="23282E"/>
                <w:sz w:val="19"/>
                <w:szCs w:val="19"/>
              </w:rPr>
              <w:t xml:space="preserve">One tax period, one return version</w:t>
            </w:r>
          </w:p>
        </w:tc>
        <w:tc>
          <w:tcPr>
            <w:tcW w:type="dxa" w:w="6900"/>
            <w:shd w:fill="EFF3F1" w:val="clear"/>
            <w:tcMar>
              <w:top w:type="dxa" w:w="90"/>
              <w:left w:type="dxa" w:w="120"/>
              <w:bottom w:type="dxa" w:w="90"/>
              <w:right w:type="dxa" w:w="120"/>
            </w:tcMar>
          </w:tcPr>
          <w:p>
            <w:r>
              <w:rPr>
                <w:b w:val="false"/>
                <w:bCs w:val="false"/>
                <w:color w:val="23282E"/>
                <w:sz w:val="19"/>
                <w:szCs w:val="19"/>
              </w:rPr>
              <w:t xml:space="preserve">The return currently on file. No rolling re-reconciliation as later documents arrive.</w:t>
            </w:r>
          </w:p>
        </w:tc>
      </w:tr>
      <w:tr>
        <w:tc>
          <w:tcPr>
            <w:tcW w:type="dxa" w:w="2600"/>
            <w:tcMar>
              <w:top w:type="dxa" w:w="90"/>
              <w:left w:type="dxa" w:w="120"/>
              <w:bottom w:type="dxa" w:w="90"/>
              <w:right w:type="dxa" w:w="120"/>
            </w:tcMar>
          </w:tcPr>
          <w:p>
            <w:r>
              <w:rPr>
                <w:b w:val="false"/>
                <w:bCs w:val="false"/>
                <w:color w:val="23282E"/>
                <w:sz w:val="19"/>
                <w:szCs w:val="19"/>
              </w:rPr>
              <w:t xml:space="preserve">Four wired qualification rules</w:t>
            </w:r>
          </w:p>
        </w:tc>
        <w:tc>
          <w:tcPr>
            <w:tcW w:type="dxa" w:w="6900"/>
            <w:tcMar>
              <w:top w:type="dxa" w:w="90"/>
              <w:left w:type="dxa" w:w="120"/>
              <w:bottom w:type="dxa" w:w="90"/>
              <w:right w:type="dxa" w:w="120"/>
            </w:tcMar>
          </w:tcPr>
          <w:p>
            <w:r>
              <w:rPr>
                <w:b w:val="false"/>
                <w:bCs w:val="false"/>
                <w:color w:val="23282E"/>
                <w:sz w:val="19"/>
                <w:szCs w:val="19"/>
              </w:rPr>
              <w:t xml:space="preserve">Credit notes on both boxes (COR-01, COR-02) and tax-point straddle timing on both boxes (OUT-07, INP-09), plus auditor-confirmed taxpayer evidence.</w:t>
            </w:r>
          </w:p>
        </w:tc>
      </w:tr>
      <w:tr>
        <w:tc>
          <w:tcPr>
            <w:tcW w:type="dxa" w:w="2600"/>
            <w:shd w:fill="EFF3F1" w:val="clear"/>
            <w:tcMar>
              <w:top w:type="dxa" w:w="90"/>
              <w:left w:type="dxa" w:w="120"/>
              <w:bottom w:type="dxa" w:w="90"/>
              <w:right w:type="dxa" w:w="120"/>
            </w:tcMar>
          </w:tcPr>
          <w:p>
            <w:r>
              <w:rPr>
                <w:b w:val="false"/>
                <w:bCs w:val="false"/>
                <w:color w:val="23282E"/>
                <w:sz w:val="19"/>
                <w:szCs w:val="19"/>
              </w:rPr>
              <w:t xml:space="preserve">Imports of goods</w:t>
            </w:r>
          </w:p>
        </w:tc>
        <w:tc>
          <w:tcPr>
            <w:tcW w:type="dxa" w:w="6900"/>
            <w:shd w:fill="EFF3F1" w:val="clear"/>
            <w:tcMar>
              <w:top w:type="dxa" w:w="90"/>
              <w:left w:type="dxa" w:w="120"/>
              <w:bottom w:type="dxa" w:w="90"/>
              <w:right w:type="dxa" w:w="120"/>
            </w:tcMar>
          </w:tcPr>
          <w:p>
            <w:r>
              <w:rPr>
                <w:b w:val="false"/>
                <w:bCs w:val="false"/>
                <w:color w:val="23282E"/>
                <w:sz w:val="19"/>
                <w:szCs w:val="19"/>
              </w:rPr>
              <w:t xml:space="preserve">Not auto-reconstructed — no live customs feed. Counted only when the taxpayer's customs declaration is on file and the auditor reviews and confirms the SAR amount, exactly like any other taxpayer evidence.</w:t>
            </w:r>
          </w:p>
        </w:tc>
      </w:tr>
      <w:tr>
        <w:tc>
          <w:tcPr>
            <w:tcW w:type="dxa" w:w="2600"/>
            <w:tcMar>
              <w:top w:type="dxa" w:w="90"/>
              <w:left w:type="dxa" w:w="120"/>
              <w:bottom w:type="dxa" w:w="90"/>
              <w:right w:type="dxa" w:w="120"/>
            </w:tcMar>
          </w:tcPr>
          <w:p>
            <w:r>
              <w:rPr>
                <w:b w:val="false"/>
                <w:bCs w:val="false"/>
                <w:color w:val="23282E"/>
                <w:sz w:val="19"/>
                <w:szCs w:val="19"/>
              </w:rPr>
              <w:t xml:space="preserve">Reverse charge on imported services</w:t>
            </w:r>
          </w:p>
        </w:tc>
        <w:tc>
          <w:tcPr>
            <w:tcW w:type="dxa" w:w="6900"/>
            <w:tcMar>
              <w:top w:type="dxa" w:w="90"/>
              <w:left w:type="dxa" w:w="120"/>
              <w:bottom w:type="dxa" w:w="90"/>
              <w:right w:type="dxa" w:w="120"/>
            </w:tcMar>
          </w:tcPr>
          <w:p>
            <w:r>
              <w:rPr>
                <w:b w:val="false"/>
                <w:bCs w:val="false"/>
                <w:color w:val="23282E"/>
                <w:sz w:val="19"/>
                <w:szCs w:val="19"/>
              </w:rPr>
              <w:t xml:space="preserve">Not auto-reconstructed — no live AP feed. Counted only when supporting documentation is on file and the auditor confirms the amount. The RCM-01…10 rulebook family remains an unwired reference for the automated version this stands in for.</w:t>
            </w:r>
          </w:p>
        </w:tc>
      </w:tr>
      <w:tr>
        <w:tc>
          <w:tcPr>
            <w:tcW w:type="dxa" w:w="2600"/>
            <w:shd w:fill="EFF3F1" w:val="clear"/>
            <w:tcMar>
              <w:top w:type="dxa" w:w="90"/>
              <w:left w:type="dxa" w:w="120"/>
              <w:bottom w:type="dxa" w:w="90"/>
              <w:right w:type="dxa" w:w="120"/>
            </w:tcMar>
          </w:tcPr>
          <w:p>
            <w:r>
              <w:rPr>
                <w:b w:val="false"/>
                <w:bCs w:val="false"/>
                <w:color w:val="23282E"/>
                <w:sz w:val="19"/>
                <w:szCs w:val="19"/>
              </w:rPr>
              <w:t xml:space="preserve">Prior-period corrections (Box 14)</w:t>
            </w:r>
          </w:p>
        </w:tc>
        <w:tc>
          <w:tcPr>
            <w:tcW w:type="dxa" w:w="6900"/>
            <w:shd w:fill="EFF3F1" w:val="clear"/>
            <w:tcMar>
              <w:top w:type="dxa" w:w="90"/>
              <w:left w:type="dxa" w:w="120"/>
              <w:bottom w:type="dxa" w:w="90"/>
              <w:right w:type="dxa" w:w="120"/>
            </w:tcMar>
          </w:tcPr>
          <w:p>
            <w:r>
              <w:rPr>
                <w:b w:val="false"/>
                <w:bCs w:val="false"/>
                <w:color w:val="23282E"/>
                <w:sz w:val="19"/>
                <w:szCs w:val="19"/>
              </w:rPr>
              <w:t xml:space="preserve">The return's own stated Box-14 figure is accepted as a legitimate adjustment once the auditor reviews and confirms it. Does not independently verify which prior period or amended return version it belongs to — the full version-chain design is detailed in Section 11.</w:t>
            </w:r>
          </w:p>
        </w:tc>
      </w:tr>
      <w:tr>
        <w:tc>
          <w:tcPr>
            <w:tcW w:type="dxa" w:w="2600"/>
            <w:tcMar>
              <w:top w:type="dxa" w:w="90"/>
              <w:left w:type="dxa" w:w="120"/>
              <w:bottom w:type="dxa" w:w="90"/>
              <w:right w:type="dxa" w:w="120"/>
            </w:tcMar>
          </w:tcPr>
          <w:p>
            <w:r>
              <w:rPr>
                <w:b w:val="false"/>
                <w:bCs w:val="false"/>
                <w:color w:val="23282E"/>
                <w:sz w:val="19"/>
                <w:szCs w:val="19"/>
              </w:rPr>
              <w:t xml:space="preserve">Rounding and currency effects</w:t>
            </w:r>
          </w:p>
        </w:tc>
        <w:tc>
          <w:tcPr>
            <w:tcW w:type="dxa" w:w="6900"/>
            <w:tcMar>
              <w:top w:type="dxa" w:w="90"/>
              <w:left w:type="dxa" w:w="120"/>
              <w:bottom w:type="dxa" w:w="90"/>
              <w:right w:type="dxa" w:w="120"/>
            </w:tcMar>
          </w:tcPr>
          <w:p>
            <w:r>
              <w:rPr>
                <w:b w:val="false"/>
                <w:bCs w:val="false"/>
                <w:color w:val="23282E"/>
                <w:sz w:val="19"/>
                <w:szCs w:val="19"/>
              </w:rPr>
              <w:t xml:space="preserve">Per-invoice rounding amounts, where the listing or e-invoice feed carries them, are summed over the qualifying lines and close the residual automatically — no auditor confirmation needed, since this is fully computable from data already in hand.</w:t>
            </w:r>
          </w:p>
        </w:tc>
      </w:tr>
      <w:tr>
        <w:tc>
          <w:tcPr>
            <w:tcW w:type="dxa" w:w="2600"/>
            <w:shd w:fill="EFF3F1" w:val="clear"/>
            <w:tcMar>
              <w:top w:type="dxa" w:w="90"/>
              <w:left w:type="dxa" w:w="120"/>
              <w:bottom w:type="dxa" w:w="90"/>
              <w:right w:type="dxa" w:w="120"/>
            </w:tcMar>
          </w:tcPr>
          <w:p>
            <w:r>
              <w:rPr>
                <w:b w:val="false"/>
                <w:bCs w:val="false"/>
                <w:color w:val="23282E"/>
                <w:sz w:val="19"/>
                <w:szCs w:val="19"/>
              </w:rPr>
              <w:t xml:space="preserve">Materiality and prioritisation</w:t>
            </w:r>
          </w:p>
        </w:tc>
        <w:tc>
          <w:tcPr>
            <w:tcW w:type="dxa" w:w="6900"/>
            <w:shd w:fill="EFF3F1" w:val="clear"/>
            <w:tcMar>
              <w:top w:type="dxa" w:w="90"/>
              <w:left w:type="dxa" w:w="120"/>
              <w:bottom w:type="dxa" w:w="90"/>
              <w:right w:type="dxa" w:w="120"/>
            </w:tcMar>
          </w:tcPr>
          <w:p>
            <w:r>
              <w:rPr>
                <w:b w:val="false"/>
                <w:bCs w:val="false"/>
                <w:color w:val="23282E"/>
                <w:sz w:val="19"/>
                <w:szCs w:val="19"/>
              </w:rPr>
              <w:t xml:space="preserve">Unexplained amounts banded against max(SAR 1,000, 0.5% of the box); cases ranked by exposure, deadline, history and quick-win.</w:t>
            </w:r>
          </w:p>
        </w:tc>
      </w:tr>
    </w:tbl>
    <w:p>
      <w:pPr>
        <w:spacing w:before="220"/>
      </w:pPr>
    </w:p>
    <w:p>
      <w:pPr>
        <w:pStyle w:val="Heading2"/>
        <w:spacing w:after="100" w:before="260"/>
      </w:pPr>
      <w:r>
        <w:rPr>
          <w:b/>
          <w:bCs/>
          <w:color w:val="0E6B57"/>
          <w:sz w:val="23"/>
          <w:szCs w:val="23"/>
        </w:rPr>
        <w:t xml:space="preserve">Out of scope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4200"/>
      </w:tblGrid>
      <w:tr>
        <w:tc>
          <w:tcPr>
            <w:tcW w:type="dxa" w:w="2000"/>
            <w:shd w:fill="1B2A4A" w:val="clear"/>
            <w:tcMar>
              <w:top w:type="dxa" w:w="90"/>
              <w:left w:type="dxa" w:w="120"/>
              <w:bottom w:type="dxa" w:w="90"/>
              <w:right w:type="dxa" w:w="120"/>
            </w:tcMar>
          </w:tcPr>
          <w:p>
            <w:r>
              <w:rPr>
                <w:b/>
                <w:bCs/>
                <w:color w:val="FFFFFF"/>
                <w:sz w:val="19"/>
                <w:szCs w:val="19"/>
              </w:rPr>
              <w:t xml:space="preserve">Reason code</w:t>
            </w:r>
          </w:p>
        </w:tc>
        <w:tc>
          <w:tcPr>
            <w:tcW w:type="dxa" w:w="3300"/>
            <w:shd w:fill="1B2A4A" w:val="clear"/>
            <w:tcMar>
              <w:top w:type="dxa" w:w="90"/>
              <w:left w:type="dxa" w:w="120"/>
              <w:bottom w:type="dxa" w:w="90"/>
              <w:right w:type="dxa" w:w="120"/>
            </w:tcMar>
          </w:tcPr>
          <w:p>
            <w:r>
              <w:rPr>
                <w:b/>
                <w:bCs/>
                <w:color w:val="FFFFFF"/>
                <w:sz w:val="19"/>
                <w:szCs w:val="19"/>
              </w:rPr>
              <w:t xml:space="preserve">Item</w:t>
            </w:r>
          </w:p>
        </w:tc>
        <w:tc>
          <w:tcPr>
            <w:tcW w:type="dxa" w:w="4200"/>
            <w:shd w:fill="1B2A4A" w:val="clear"/>
            <w:tcMar>
              <w:top w:type="dxa" w:w="90"/>
              <w:left w:type="dxa" w:w="120"/>
              <w:bottom w:type="dxa" w:w="90"/>
              <w:right w:type="dxa" w:w="120"/>
            </w:tcMar>
          </w:tcPr>
          <w:p>
            <w:r>
              <w:rPr>
                <w:b/>
                <w:bCs/>
                <w:color w:val="FFFFFF"/>
                <w:sz w:val="19"/>
                <w:szCs w:val="19"/>
              </w:rPr>
              <w:t xml:space="preserve">Why it's excluded</w:t>
            </w:r>
          </w:p>
        </w:tc>
      </w:tr>
      <w:tr>
        <w:tc>
          <w:tcPr>
            <w:tcW w:type="dxa" w:w="2000"/>
            <w:tcMar>
              <w:top w:type="dxa" w:w="90"/>
              <w:left w:type="dxa" w:w="120"/>
              <w:bottom w:type="dxa" w:w="90"/>
              <w:right w:type="dxa" w:w="120"/>
            </w:tcMar>
          </w:tcPr>
          <w:p>
            <w:r>
              <w:rPr>
                <w:b w:val="false"/>
                <w:bCs w:val="false"/>
                <w:color w:val="23282E"/>
                <w:sz w:val="19"/>
                <w:szCs w:val="19"/>
              </w:rPr>
              <w:t xml:space="preserve">S01</w:t>
            </w:r>
          </w:p>
        </w:tc>
        <w:tc>
          <w:tcPr>
            <w:tcW w:type="dxa" w:w="3300"/>
            <w:tcMar>
              <w:top w:type="dxa" w:w="90"/>
              <w:left w:type="dxa" w:w="120"/>
              <w:bottom w:type="dxa" w:w="90"/>
              <w:right w:type="dxa" w:w="120"/>
            </w:tcMar>
          </w:tcPr>
          <w:p>
            <w:r>
              <w:rPr>
                <w:b w:val="false"/>
                <w:bCs w:val="false"/>
                <w:color w:val="23282E"/>
                <w:sz w:val="19"/>
                <w:szCs w:val="19"/>
              </w:rPr>
              <w:t xml:space="preserve">Exempt and outside-scope supplies</w:t>
            </w:r>
          </w:p>
        </w:tc>
        <w:tc>
          <w:tcPr>
            <w:tcW w:type="dxa" w:w="4200"/>
            <w:tcMar>
              <w:top w:type="dxa" w:w="90"/>
              <w:left w:type="dxa" w:w="120"/>
              <w:bottom w:type="dxa" w:w="90"/>
              <w:right w:type="dxa" w:w="120"/>
            </w:tcMar>
          </w:tcPr>
          <w:p>
            <w:r>
              <w:rPr>
                <w:b w:val="false"/>
                <w:bCs w:val="false"/>
                <w:color w:val="23282E"/>
                <w:sz w:val="19"/>
                <w:szCs w:val="19"/>
              </w:rPr>
              <w:t xml:space="preserve">Only standard-rated and zero-rated categories are reconstructed; exempt (E) and outside-scope (O) lines are excluded and their boxes are seeded but never reconciled.</w:t>
            </w:r>
          </w:p>
        </w:tc>
      </w:tr>
      <w:tr>
        <w:tc>
          <w:tcPr>
            <w:tcW w:type="dxa" w:w="2000"/>
            <w:shd w:fill="EFF3F1" w:val="clear"/>
            <w:tcMar>
              <w:top w:type="dxa" w:w="90"/>
              <w:left w:type="dxa" w:w="120"/>
              <w:bottom w:type="dxa" w:w="90"/>
              <w:right w:type="dxa" w:w="120"/>
            </w:tcMar>
          </w:tcPr>
          <w:p>
            <w:r>
              <w:rPr>
                <w:b w:val="false"/>
                <w:bCs w:val="false"/>
                <w:color w:val="23282E"/>
                <w:sz w:val="19"/>
                <w:szCs w:val="19"/>
              </w:rPr>
              <w:t xml:space="preserve">S06</w:t>
            </w:r>
          </w:p>
        </w:tc>
        <w:tc>
          <w:tcPr>
            <w:tcW w:type="dxa" w:w="3300"/>
            <w:shd w:fill="EFF3F1" w:val="clear"/>
            <w:tcMar>
              <w:top w:type="dxa" w:w="90"/>
              <w:left w:type="dxa" w:w="120"/>
              <w:bottom w:type="dxa" w:w="90"/>
              <w:right w:type="dxa" w:w="120"/>
            </w:tcMar>
          </w:tcPr>
          <w:p>
            <w:r>
              <w:rPr>
                <w:b w:val="false"/>
                <w:bCs w:val="false"/>
                <w:color w:val="23282E"/>
                <w:sz w:val="19"/>
                <w:szCs w:val="19"/>
              </w:rPr>
              <w:t xml:space="preserve">VAT groups and branch identities</w:t>
            </w:r>
          </w:p>
        </w:tc>
        <w:tc>
          <w:tcPr>
            <w:tcW w:type="dxa" w:w="4200"/>
            <w:shd w:fill="EFF3F1" w:val="clear"/>
            <w:tcMar>
              <w:top w:type="dxa" w:w="90"/>
              <w:left w:type="dxa" w:w="120"/>
              <w:bottom w:type="dxa" w:w="90"/>
              <w:right w:type="dxa" w:w="120"/>
            </w:tcMar>
          </w:tcPr>
          <w:p>
            <w:r>
              <w:rPr>
                <w:b w:val="false"/>
                <w:bCs w:val="false"/>
                <w:color w:val="23282E"/>
                <w:sz w:val="19"/>
                <w:szCs w:val="19"/>
              </w:rPr>
              <w:t xml:space="preserve">One taxpayer, one VAT number only.</w:t>
            </w:r>
          </w:p>
        </w:tc>
      </w:tr>
      <w:tr>
        <w:tc>
          <w:tcPr>
            <w:tcW w:type="dxa" w:w="2000"/>
            <w:tcMar>
              <w:top w:type="dxa" w:w="90"/>
              <w:left w:type="dxa" w:w="120"/>
              <w:bottom w:type="dxa" w:w="90"/>
              <w:right w:type="dxa" w:w="120"/>
            </w:tcMar>
          </w:tcPr>
          <w:p>
            <w:r>
              <w:rPr>
                <w:b w:val="false"/>
                <w:bCs w:val="false"/>
                <w:color w:val="23282E"/>
                <w:sz w:val="19"/>
                <w:szCs w:val="19"/>
              </w:rPr>
              <w:t xml:space="preserve">T05</w:t>
            </w:r>
          </w:p>
        </w:tc>
        <w:tc>
          <w:tcPr>
            <w:tcW w:type="dxa" w:w="3300"/>
            <w:tcMar>
              <w:top w:type="dxa" w:w="90"/>
              <w:left w:type="dxa" w:w="120"/>
              <w:bottom w:type="dxa" w:w="90"/>
              <w:right w:type="dxa" w:w="120"/>
            </w:tcMar>
          </w:tcPr>
          <w:p>
            <w:r>
              <w:rPr>
                <w:b w:val="false"/>
                <w:bCs w:val="false"/>
                <w:color w:val="23282E"/>
                <w:sz w:val="19"/>
                <w:szCs w:val="19"/>
              </w:rPr>
              <w:t xml:space="preserve">Cash-accounting taxpayers</w:t>
            </w:r>
          </w:p>
        </w:tc>
        <w:tc>
          <w:tcPr>
            <w:tcW w:type="dxa" w:w="4200"/>
            <w:tcMar>
              <w:top w:type="dxa" w:w="90"/>
              <w:left w:type="dxa" w:w="120"/>
              <w:bottom w:type="dxa" w:w="90"/>
              <w:right w:type="dxa" w:w="120"/>
            </w:tcMar>
          </w:tcPr>
          <w:p>
            <w:r>
              <w:rPr>
                <w:b w:val="false"/>
                <w:bCs w:val="false"/>
                <w:color w:val="23282E"/>
                <w:sz w:val="19"/>
                <w:szCs w:val="19"/>
              </w:rPr>
              <w:t xml:space="preserve">Every case is modelled on the accrual basis.</w:t>
            </w:r>
          </w:p>
        </w:tc>
      </w:tr>
      <w:tr>
        <w:tc>
          <w:tcPr>
            <w:tcW w:type="dxa" w:w="2000"/>
            <w:shd w:fill="EFF3F1" w:val="clear"/>
            <w:tcMar>
              <w:top w:type="dxa" w:w="90"/>
              <w:left w:type="dxa" w:w="120"/>
              <w:bottom w:type="dxa" w:w="90"/>
              <w:right w:type="dxa" w:w="120"/>
            </w:tcMar>
          </w:tcPr>
          <w:p>
            <w:r>
              <w:rPr>
                <w:b w:val="false"/>
                <w:bCs w:val="false"/>
                <w:color w:val="23282E"/>
                <w:sz w:val="19"/>
                <w:szCs w:val="19"/>
              </w:rPr>
              <w:t xml:space="preserve">T08</w:t>
            </w:r>
          </w:p>
        </w:tc>
        <w:tc>
          <w:tcPr>
            <w:tcW w:type="dxa" w:w="3300"/>
            <w:shd w:fill="EFF3F1" w:val="clear"/>
            <w:tcMar>
              <w:top w:type="dxa" w:w="90"/>
              <w:left w:type="dxa" w:w="120"/>
              <w:bottom w:type="dxa" w:w="90"/>
              <w:right w:type="dxa" w:w="120"/>
            </w:tcMar>
          </w:tcPr>
          <w:p>
            <w:r>
              <w:rPr>
                <w:b w:val="false"/>
                <w:bCs w:val="false"/>
                <w:color w:val="23282E"/>
                <w:sz w:val="19"/>
                <w:szCs w:val="19"/>
              </w:rPr>
              <w:t xml:space="preserve">Full version-chain reconciliation of amended returns</w:t>
            </w:r>
          </w:p>
        </w:tc>
        <w:tc>
          <w:tcPr>
            <w:tcW w:type="dxa" w:w="4200"/>
            <w:shd w:fill="EFF3F1" w:val="clear"/>
            <w:tcMar>
              <w:top w:type="dxa" w:w="90"/>
              <w:left w:type="dxa" w:w="120"/>
              <w:bottom w:type="dxa" w:w="90"/>
              <w:right w:type="dxa" w:w="120"/>
            </w:tcMar>
          </w:tcPr>
          <w:p>
            <w:r>
              <w:rPr>
                <w:b w:val="false"/>
                <w:bCs w:val="false"/>
                <w:color w:val="23282E"/>
                <w:sz w:val="19"/>
                <w:szCs w:val="19"/>
              </w:rPr>
              <w:t xml:space="preserve">The Box-14 figure the return already states is accepted once confirmed (see in scope); the engine does not auto-select the correct amended version, decompose Box-14 per error, or detect double-relief or an unsupported reversal — see Section 11.</w:t>
            </w:r>
          </w:p>
        </w:tc>
      </w:tr>
      <w:tr>
        <w:tc>
          <w:tcPr>
            <w:tcW w:type="dxa" w:w="2000"/>
            <w:tcMar>
              <w:top w:type="dxa" w:w="90"/>
              <w:left w:type="dxa" w:w="120"/>
              <w:bottom w:type="dxa" w:w="90"/>
              <w:right w:type="dxa" w:w="120"/>
            </w:tcMar>
          </w:tcPr>
          <w:p>
            <w:r>
              <w:rPr>
                <w:b w:val="false"/>
                <w:bCs w:val="false"/>
                <w:color w:val="23282E"/>
                <w:sz w:val="19"/>
                <w:szCs w:val="19"/>
              </w:rPr>
              <w:t xml:space="preserve">A03</w:t>
            </w:r>
          </w:p>
        </w:tc>
        <w:tc>
          <w:tcPr>
            <w:tcW w:type="dxa" w:w="3300"/>
            <w:tcMar>
              <w:top w:type="dxa" w:w="90"/>
              <w:left w:type="dxa" w:w="120"/>
              <w:bottom w:type="dxa" w:w="90"/>
              <w:right w:type="dxa" w:w="120"/>
            </w:tcMar>
          </w:tcPr>
          <w:p>
            <w:r>
              <w:rPr>
                <w:b w:val="false"/>
                <w:bCs w:val="false"/>
                <w:color w:val="23282E"/>
                <w:sz w:val="19"/>
                <w:szCs w:val="19"/>
              </w:rPr>
              <w:t xml:space="preserve">Bad-debt relief</w:t>
            </w:r>
          </w:p>
        </w:tc>
        <w:tc>
          <w:tcPr>
            <w:tcW w:type="dxa" w:w="4200"/>
            <w:tcMar>
              <w:top w:type="dxa" w:w="90"/>
              <w:left w:type="dxa" w:w="120"/>
              <w:bottom w:type="dxa" w:w="90"/>
              <w:right w:type="dxa" w:w="120"/>
            </w:tcMar>
          </w:tcPr>
          <w:p>
            <w:r>
              <w:rPr>
                <w:b w:val="false"/>
                <w:bCs w:val="false"/>
                <w:color w:val="23282E"/>
                <w:sz w:val="19"/>
                <w:szCs w:val="19"/>
              </w:rPr>
              <w:t xml:space="preserve">Output-tax adjustments after the original invoice period are out of scope.</w:t>
            </w:r>
          </w:p>
        </w:tc>
      </w:tr>
      <w:tr>
        <w:tc>
          <w:tcPr>
            <w:tcW w:type="dxa" w:w="2000"/>
            <w:shd w:fill="EFF3F1" w:val="clear"/>
            <w:tcMar>
              <w:top w:type="dxa" w:w="90"/>
              <w:left w:type="dxa" w:w="120"/>
              <w:bottom w:type="dxa" w:w="90"/>
              <w:right w:type="dxa" w:w="120"/>
            </w:tcMar>
          </w:tcPr>
          <w:p>
            <w:r>
              <w:rPr>
                <w:b w:val="false"/>
                <w:bCs w:val="false"/>
                <w:color w:val="23282E"/>
                <w:sz w:val="19"/>
                <w:szCs w:val="19"/>
              </w:rPr>
              <w:t xml:space="preserve">A02</w:t>
            </w:r>
          </w:p>
        </w:tc>
        <w:tc>
          <w:tcPr>
            <w:tcW w:type="dxa" w:w="3300"/>
            <w:shd w:fill="EFF3F1" w:val="clear"/>
            <w:tcMar>
              <w:top w:type="dxa" w:w="90"/>
              <w:left w:type="dxa" w:w="120"/>
              <w:bottom w:type="dxa" w:w="90"/>
              <w:right w:type="dxa" w:w="120"/>
            </w:tcMar>
          </w:tcPr>
          <w:p>
            <w:r>
              <w:rPr>
                <w:b w:val="false"/>
                <w:bCs w:val="false"/>
                <w:color w:val="23282E"/>
                <w:sz w:val="19"/>
                <w:szCs w:val="19"/>
              </w:rPr>
              <w:t xml:space="preserve">Partial exemption / blocked input</w:t>
            </w:r>
          </w:p>
        </w:tc>
        <w:tc>
          <w:tcPr>
            <w:tcW w:type="dxa" w:w="4200"/>
            <w:shd w:fill="EFF3F1" w:val="clear"/>
            <w:tcMar>
              <w:top w:type="dxa" w:w="90"/>
              <w:left w:type="dxa" w:w="120"/>
              <w:bottom w:type="dxa" w:w="90"/>
              <w:right w:type="dxa" w:w="120"/>
            </w:tcMar>
          </w:tcPr>
          <w:p>
            <w:r>
              <w:rPr>
                <w:b w:val="false"/>
                <w:bCs w:val="false"/>
                <w:color w:val="23282E"/>
                <w:sz w:val="19"/>
                <w:szCs w:val="19"/>
              </w:rPr>
              <w:t xml:space="preserve">Full recovery is assumed on every purchase invoice.</w:t>
            </w:r>
          </w:p>
        </w:tc>
      </w:tr>
      <w:tr>
        <w:tc>
          <w:tcPr>
            <w:tcW w:type="dxa" w:w="2000"/>
            <w:tcMar>
              <w:top w:type="dxa" w:w="90"/>
              <w:left w:type="dxa" w:w="120"/>
              <w:bottom w:type="dxa" w:w="90"/>
              <w:right w:type="dxa" w:w="120"/>
            </w:tcMar>
          </w:tcPr>
          <w:p>
            <w:r>
              <w:rPr>
                <w:b w:val="false"/>
                <w:bCs w:val="false"/>
                <w:color w:val="23282E"/>
                <w:sz w:val="19"/>
                <w:szCs w:val="19"/>
              </w:rPr>
              <w:t xml:space="preserve">D02</w:t>
            </w:r>
          </w:p>
        </w:tc>
        <w:tc>
          <w:tcPr>
            <w:tcW w:type="dxa" w:w="3300"/>
            <w:tcMar>
              <w:top w:type="dxa" w:w="90"/>
              <w:left w:type="dxa" w:w="120"/>
              <w:bottom w:type="dxa" w:w="90"/>
              <w:right w:type="dxa" w:w="120"/>
            </w:tcMar>
          </w:tcPr>
          <w:p>
            <w:r>
              <w:rPr>
                <w:b w:val="false"/>
                <w:bCs w:val="false"/>
                <w:color w:val="23282E"/>
                <w:sz w:val="19"/>
                <w:szCs w:val="19"/>
              </w:rPr>
              <w:t xml:space="preserve">Summary invoices / B2C aggregation</w:t>
            </w:r>
          </w:p>
        </w:tc>
        <w:tc>
          <w:tcPr>
            <w:tcW w:type="dxa" w:w="4200"/>
            <w:tcMar>
              <w:top w:type="dxa" w:w="90"/>
              <w:left w:type="dxa" w:w="120"/>
              <w:bottom w:type="dxa" w:w="90"/>
              <w:right w:type="dxa" w:w="120"/>
            </w:tcMar>
          </w:tcPr>
          <w:p>
            <w:r>
              <w:rPr>
                <w:b w:val="false"/>
                <w:bCs w:val="false"/>
                <w:color w:val="23282E"/>
                <w:sz w:val="19"/>
                <w:szCs w:val="19"/>
              </w:rPr>
              <w:t xml:space="preserve">Reconciliation is document-level only; no daily/store/POS batch tier.</w:t>
            </w:r>
          </w:p>
        </w:tc>
      </w:tr>
      <w:tr>
        <w:tc>
          <w:tcPr>
            <w:tcW w:type="dxa" w:w="2000"/>
            <w:shd w:fill="EFF3F1" w:val="clear"/>
            <w:tcMar>
              <w:top w:type="dxa" w:w="90"/>
              <w:left w:type="dxa" w:w="120"/>
              <w:bottom w:type="dxa" w:w="90"/>
              <w:right w:type="dxa" w:w="120"/>
            </w:tcMar>
          </w:tcPr>
          <w:p>
            <w:r>
              <w:rPr>
                <w:b w:val="false"/>
                <w:bCs w:val="false"/>
                <w:color w:val="23282E"/>
                <w:sz w:val="19"/>
                <w:szCs w:val="19"/>
              </w:rPr>
              <w:t xml:space="preserve">S04</w:t>
            </w:r>
          </w:p>
        </w:tc>
        <w:tc>
          <w:tcPr>
            <w:tcW w:type="dxa" w:w="3300"/>
            <w:shd w:fill="EFF3F1" w:val="clear"/>
            <w:tcMar>
              <w:top w:type="dxa" w:w="90"/>
              <w:left w:type="dxa" w:w="120"/>
              <w:bottom w:type="dxa" w:w="90"/>
              <w:right w:type="dxa" w:w="120"/>
            </w:tcMar>
          </w:tcPr>
          <w:p>
            <w:r>
              <w:rPr>
                <w:b w:val="false"/>
                <w:bCs w:val="false"/>
                <w:color w:val="23282E"/>
                <w:sz w:val="19"/>
                <w:szCs w:val="19"/>
              </w:rPr>
              <w:t xml:space="preserve">Automated import/reverse-charge reconstruction</w:t>
            </w:r>
          </w:p>
        </w:tc>
        <w:tc>
          <w:tcPr>
            <w:tcW w:type="dxa" w:w="4200"/>
            <w:shd w:fill="EFF3F1" w:val="clear"/>
            <w:tcMar>
              <w:top w:type="dxa" w:w="90"/>
              <w:left w:type="dxa" w:w="120"/>
              <w:bottom w:type="dxa" w:w="90"/>
              <w:right w:type="dxa" w:w="120"/>
            </w:tcMar>
          </w:tcPr>
          <w:p>
            <w:r>
              <w:rPr>
                <w:b w:val="false"/>
                <w:bCs w:val="false"/>
                <w:color w:val="23282E"/>
                <w:sz w:val="19"/>
                <w:szCs w:val="19"/>
              </w:rPr>
              <w:t xml:space="preserve">No live customs or AP feed; both are counted only via auditor-confirmed evidence (see in scope), not reconstructed the way standard-rated sales/purchases are.</w:t>
            </w:r>
          </w:p>
        </w:tc>
      </w:tr>
      <w:tr>
        <w:tc>
          <w:tcPr>
            <w:tcW w:type="dxa" w:w="2000"/>
            <w:tcMar>
              <w:top w:type="dxa" w:w="90"/>
              <w:left w:type="dxa" w:w="120"/>
              <w:bottom w:type="dxa" w:w="90"/>
              <w:right w:type="dxa" w:w="120"/>
            </w:tcMar>
          </w:tcPr>
          <w:p>
            <w:r>
              <w:rPr>
                <w:b w:val="false"/>
                <w:bCs w:val="false"/>
                <w:color w:val="23282E"/>
                <w:sz w:val="19"/>
                <w:szCs w:val="19"/>
              </w:rPr>
              <w:t xml:space="preserve">R08</w:t>
            </w:r>
          </w:p>
        </w:tc>
        <w:tc>
          <w:tcPr>
            <w:tcW w:type="dxa" w:w="3300"/>
            <w:tcMar>
              <w:top w:type="dxa" w:w="90"/>
              <w:left w:type="dxa" w:w="120"/>
              <w:bottom w:type="dxa" w:w="90"/>
              <w:right w:type="dxa" w:w="120"/>
            </w:tcMar>
          </w:tcPr>
          <w:p>
            <w:r>
              <w:rPr>
                <w:b w:val="false"/>
                <w:bCs w:val="false"/>
                <w:color w:val="23282E"/>
                <w:sz w:val="19"/>
                <w:szCs w:val="19"/>
              </w:rPr>
              <w:t xml:space="preserve">Buyer-side supplier matching</w:t>
            </w:r>
          </w:p>
        </w:tc>
        <w:tc>
          <w:tcPr>
            <w:tcW w:type="dxa" w:w="4200"/>
            <w:tcMar>
              <w:top w:type="dxa" w:w="90"/>
              <w:left w:type="dxa" w:w="120"/>
              <w:bottom w:type="dxa" w:w="90"/>
              <w:right w:type="dxa" w:w="120"/>
            </w:tcMar>
          </w:tcPr>
          <w:p>
            <w:r>
              <w:rPr>
                <w:b w:val="false"/>
                <w:bCs w:val="false"/>
                <w:color w:val="23282E"/>
                <w:sz w:val="19"/>
                <w:szCs w:val="19"/>
              </w:rPr>
              <w:t xml:space="preserve">Input VAT is not cross-checked against the supplier's own outward e-invoices.</w:t>
            </w:r>
          </w:p>
        </w:tc>
      </w:tr>
      <w:tr>
        <w:tc>
          <w:tcPr>
            <w:tcW w:type="dxa" w:w="2000"/>
            <w:shd w:fill="EFF3F1" w:val="clear"/>
            <w:tcMar>
              <w:top w:type="dxa" w:w="90"/>
              <w:left w:type="dxa" w:w="120"/>
              <w:bottom w:type="dxa" w:w="90"/>
              <w:right w:type="dxa" w:w="120"/>
            </w:tcMar>
          </w:tcPr>
          <w:p>
            <w:r>
              <w:rPr>
                <w:b w:val="false"/>
                <w:bCs w:val="false"/>
                <w:color w:val="23282E"/>
                <w:sz w:val="19"/>
                <w:szCs w:val="19"/>
              </w:rPr>
              <w:t xml:space="preserve">T03</w:t>
            </w:r>
          </w:p>
        </w:tc>
        <w:tc>
          <w:tcPr>
            <w:tcW w:type="dxa" w:w="3300"/>
            <w:shd w:fill="EFF3F1" w:val="clear"/>
            <w:tcMar>
              <w:top w:type="dxa" w:w="90"/>
              <w:left w:type="dxa" w:w="120"/>
              <w:bottom w:type="dxa" w:w="90"/>
              <w:right w:type="dxa" w:w="120"/>
            </w:tcMar>
          </w:tcPr>
          <w:p>
            <w:r>
              <w:rPr>
                <w:b w:val="false"/>
                <w:bCs w:val="false"/>
                <w:color w:val="23282E"/>
                <w:sz w:val="19"/>
                <w:szCs w:val="19"/>
              </w:rPr>
              <w:t xml:space="preserve">Late arrivals / rolling reconciliation</w:t>
            </w:r>
          </w:p>
        </w:tc>
        <w:tc>
          <w:tcPr>
            <w:tcW w:type="dxa" w:w="4200"/>
            <w:shd w:fill="EFF3F1" w:val="clear"/>
            <w:tcMar>
              <w:top w:type="dxa" w:w="90"/>
              <w:left w:type="dxa" w:w="120"/>
              <w:bottom w:type="dxa" w:w="90"/>
              <w:right w:type="dxa" w:w="120"/>
            </w:tcMar>
          </w:tcPr>
          <w:p>
            <w:r>
              <w:rPr>
                <w:b w:val="false"/>
                <w:bCs w:val="false"/>
                <w:color w:val="23282E"/>
                <w:sz w:val="19"/>
                <w:szCs w:val="19"/>
              </w:rPr>
              <w:t xml:space="preserve">A single closed-period pass; documents cleared after filing do not reopen it.</w:t>
            </w:r>
          </w:p>
        </w:tc>
      </w:tr>
    </w:tbl>
    <w:p>
      <w:pPr>
        <w:pStyle w:val="Heading1"/>
        <w:pBdr>
          <w:bottom w:val="single" w:color="0E6B57" w:sz="6" w:space="4"/>
        </w:pBdr>
        <w:spacing w:after="160" w:before="420"/>
      </w:pPr>
      <w:r>
        <w:rPr>
          <w:b/>
          <w:bCs/>
          <w:color w:val="1B2A4A"/>
          <w:sz w:val="28"/>
          <w:szCs w:val="28"/>
        </w:rPr>
        <w:t xml:space="preserve">5. Assumptions</w:t>
      </w:r>
    </w:p>
    <w:p>
      <w:pPr>
        <w:pStyle w:val="ListParagraph"/>
        <w:numPr>
          <w:ilvl w:val="0"/>
          <w:numId w:val="2"/>
        </w:numPr>
        <w:spacing w:after="90" w:line="268"/>
      </w:pPr>
      <w:r>
        <w:rPr>
          <w:b/>
          <w:bCs/>
          <w:color w:val="1B2A4A"/>
          <w:sz w:val="21"/>
          <w:szCs w:val="21"/>
        </w:rPr>
        <w:t xml:space="preserve">Tax point ≈ invoice issue date. </w:t>
      </w:r>
      <w:r>
        <w:rPr>
          <w:b w:val="false"/>
          <w:bCs w:val="false"/>
          <w:color w:val="23282E"/>
          <w:sz w:val="21"/>
          <w:szCs w:val="21"/>
        </w:rPr>
        <w:t xml:space="preserve">Delivery date is used only for the period-straddle test. This is the single most consequential simplification in the engine: the true rule is the earliest of payment, invoice, or contractual due date, with special cases for continuous supply — treated in Section 11.</w:t>
      </w:r>
    </w:p>
    <w:p>
      <w:pPr>
        <w:pStyle w:val="ListParagraph"/>
        <w:numPr>
          <w:ilvl w:val="0"/>
          <w:numId w:val="2"/>
        </w:numPr>
        <w:spacing w:after="90" w:line="268"/>
      </w:pPr>
      <w:r>
        <w:rPr>
          <w:b/>
          <w:bCs/>
          <w:color w:val="1B2A4A"/>
          <w:sz w:val="21"/>
          <w:szCs w:val="21"/>
        </w:rPr>
        <w:t xml:space="preserve">Single taxpayer, single period, single return version. </w:t>
      </w:r>
      <w:r>
        <w:rPr>
          <w:b w:val="false"/>
          <w:bCs w:val="false"/>
          <w:color w:val="23282E"/>
          <w:sz w:val="21"/>
          <w:szCs w:val="21"/>
        </w:rPr>
        <w:t xml:space="preserve">No group representative, no branch structure, no rolling re-reconciliation as later documents arrive. The return's own stated Box-14 correction is accepted once confirmed (Section 4), but there is no automated version-chain verification — see Section 11 for the full design.</w:t>
      </w:r>
    </w:p>
    <w:p>
      <w:pPr>
        <w:pStyle w:val="ListParagraph"/>
        <w:numPr>
          <w:ilvl w:val="0"/>
          <w:numId w:val="2"/>
        </w:numPr>
        <w:spacing w:after="90" w:line="268"/>
      </w:pPr>
      <w:r>
        <w:rPr>
          <w:b/>
          <w:bCs/>
          <w:color w:val="1B2A4A"/>
          <w:sz w:val="21"/>
          <w:szCs w:val="21"/>
        </w:rPr>
        <w:t xml:space="preserve">Full input VAT recovery assumed. </w:t>
      </w:r>
      <w:r>
        <w:rPr>
          <w:b w:val="false"/>
          <w:bCs w:val="false"/>
          <w:color w:val="23282E"/>
          <w:sz w:val="21"/>
          <w:szCs w:val="21"/>
        </w:rPr>
        <w:t xml:space="preserve">Beyond the Regulations agent's explicit blocked-expense-category check, no partial-exemption or blocked-input modelling is applied.</w:t>
      </w:r>
    </w:p>
    <w:p>
      <w:pPr>
        <w:pStyle w:val="ListParagraph"/>
        <w:numPr>
          <w:ilvl w:val="0"/>
          <w:numId w:val="2"/>
        </w:numPr>
        <w:spacing w:after="90" w:line="268"/>
      </w:pPr>
      <w:r>
        <w:rPr>
          <w:b/>
          <w:bCs/>
          <w:color w:val="1B2A4A"/>
          <w:sz w:val="21"/>
          <w:szCs w:val="21"/>
        </w:rPr>
        <w:t xml:space="preserve">Accrual basis throughout. </w:t>
      </w:r>
      <w:r>
        <w:rPr>
          <w:b w:val="false"/>
          <w:bCs w:val="false"/>
          <w:color w:val="23282E"/>
          <w:sz w:val="21"/>
          <w:szCs w:val="21"/>
        </w:rPr>
        <w:t xml:space="preserve">Every demo taxpayer files on the accrual basis, so payment-date timing never itself moves a supply between periods.</w:t>
      </w:r>
    </w:p>
    <w:p>
      <w:pPr>
        <w:pStyle w:val="ListParagraph"/>
        <w:numPr>
          <w:ilvl w:val="0"/>
          <w:numId w:val="2"/>
        </w:numPr>
        <w:spacing w:after="90" w:line="268"/>
      </w:pPr>
      <w:r>
        <w:rPr>
          <w:b/>
          <w:bCs/>
          <w:color w:val="1B2A4A"/>
          <w:sz w:val="21"/>
          <w:szCs w:val="21"/>
        </w:rPr>
        <w:t xml:space="preserve">SAR, tax-exclusive. </w:t>
      </w:r>
      <w:r>
        <w:rPr>
          <w:b w:val="false"/>
          <w:bCs w:val="false"/>
          <w:color w:val="23282E"/>
          <w:sz w:val="21"/>
          <w:szCs w:val="21"/>
        </w:rPr>
        <w:t xml:space="preserve">Per-invoice rounding amounts, where the listing or e-invoice feed states them, are summed over the qualifying lines and close the residual automatically (Section 4) — computed, not a judgement call. No separate multi-currency conversion model is applied.</w:t>
      </w:r>
    </w:p>
    <w:p>
      <w:pPr>
        <w:pStyle w:val="ListParagraph"/>
        <w:numPr>
          <w:ilvl w:val="0"/>
          <w:numId w:val="2"/>
        </w:numPr>
        <w:spacing w:after="90" w:line="268"/>
      </w:pPr>
      <w:r>
        <w:rPr>
          <w:b/>
          <w:bCs/>
          <w:color w:val="1B2A4A"/>
          <w:sz w:val="21"/>
          <w:szCs w:val="21"/>
        </w:rPr>
        <w:t xml:space="preserve">Synthetic data only. </w:t>
      </w:r>
      <w:r>
        <w:rPr>
          <w:b w:val="false"/>
          <w:bCs w:val="false"/>
          <w:color w:val="23282E"/>
          <w:sz w:val="21"/>
          <w:szCs w:val="21"/>
        </w:rPr>
        <w:t xml:space="preserve">Every taxpayer, case and document in the running system is fabricated for the demo. The hosted model is only called when the data is confirmed synthetic; the real taxpayer name is pseudonymised (“Taxpayer A”) before it ever reaches the model, and restored only for on-screen display.</w:t>
      </w:r>
    </w:p>
    <w:p>
      <w:pPr>
        <w:pStyle w:val="Heading1"/>
        <w:pBdr>
          <w:bottom w:val="single" w:color="0E6B57" w:sz="6" w:space="4"/>
        </w:pBdr>
        <w:spacing w:after="160" w:before="420"/>
      </w:pPr>
      <w:r>
        <w:rPr>
          <w:b/>
          <w:bCs/>
          <w:color w:val="1B2A4A"/>
          <w:sz w:val="28"/>
          <w:szCs w:val="28"/>
        </w:rPr>
        <w:t xml:space="preserve">6. Illustrative Taxpayer Journey</w:t>
      </w:r>
    </w:p>
    <w:p>
      <w:pPr>
        <w:spacing w:after="140" w:line="276"/>
      </w:pPr>
      <w:r>
        <w:rPr>
          <w:color w:val="23282E"/>
          <w:sz w:val="21"/>
          <w:szCs w:val="21"/>
        </w:rPr>
        <w:t xml:space="preserve">A case moves through five stages — Intake, Planning, Correspondence, Review, Closure. Three properties hold throughout: the stage is always derived from the case's own data, never stored as a status column that can fall out of step; every gate is a human decision, the machine only reports where the case is and what it is waiting for; and “waiting on the taxpayer” is a first-class state, distinguishable from “waiting on the auditor.” The walk below follows a single illustrative case, “Taxpayer A, 2025 Q1.”</w:t>
      </w:r>
    </w:p>
    <w:p>
      <w:pPr>
        <w:pStyle w:val="ListParagraph"/>
        <w:numPr>
          <w:ilvl w:val="0"/>
          <w:numId w:val="2"/>
        </w:numPr>
        <w:spacing w:after="90" w:line="268"/>
      </w:pPr>
      <w:r>
        <w:rPr>
          <w:b/>
          <w:bCs/>
          <w:color w:val="1B2A4A"/>
          <w:sz w:val="21"/>
          <w:szCs w:val="21"/>
        </w:rPr>
        <w:t xml:space="preserve">1 · Intake. </w:t>
      </w:r>
      <w:r>
        <w:rPr>
          <w:b w:val="false"/>
          <w:bCs w:val="false"/>
          <w:color w:val="23282E"/>
          <w:sz w:val="21"/>
          <w:szCs w:val="21"/>
        </w:rPr>
        <w:t xml:space="preserve">The case is referred; the dossier — returns, e-invoicing, prior audits, registered economic activities — is assembled from ZATCA's own systems in one call. Done automatically; nothing here waits on a person.</w:t>
      </w:r>
    </w:p>
    <w:p>
      <w:pPr>
        <w:pStyle w:val="ListParagraph"/>
        <w:numPr>
          <w:ilvl w:val="0"/>
          <w:numId w:val="2"/>
        </w:numPr>
        <w:spacing w:after="90" w:line="268"/>
      </w:pPr>
      <w:r>
        <w:rPr>
          <w:b/>
          <w:bCs/>
          <w:color w:val="1B2A4A"/>
          <w:sz w:val="21"/>
          <w:szCs w:val="21"/>
        </w:rPr>
        <w:t xml:space="preserve">2 · Planning. </w:t>
      </w:r>
      <w:r>
        <w:rPr>
          <w:b w:val="false"/>
          <w:bCs w:val="false"/>
          <w:color w:val="23282E"/>
          <w:sz w:val="21"/>
          <w:szCs w:val="21"/>
        </w:rPr>
        <w:t xml:space="preserve">Under the current scope this stage is folded into Intake: the auditor's own request email becomes the checkable specification directly. (The standalone planning stage — precedent retrieval, risk-engine ingestion — is dormant; see Section 11.)</w:t>
      </w:r>
    </w:p>
    <w:p>
      <w:pPr>
        <w:pStyle w:val="ListParagraph"/>
        <w:numPr>
          <w:ilvl w:val="0"/>
          <w:numId w:val="2"/>
        </w:numPr>
        <w:spacing w:after="90" w:line="268"/>
      </w:pPr>
      <w:r>
        <w:rPr>
          <w:b/>
          <w:bCs/>
          <w:color w:val="1B2A4A"/>
          <w:sz w:val="21"/>
          <w:szCs w:val="21"/>
        </w:rPr>
        <w:t xml:space="preserve">3 · Correspondence. </w:t>
      </w:r>
      <w:r>
        <w:rPr>
          <w:b w:val="false"/>
          <w:bCs w:val="false"/>
          <w:color w:val="23282E"/>
          <w:sz w:val="21"/>
          <w:szCs w:val="21"/>
        </w:rPr>
        <w:t xml:space="preserve">The received spreadsheets are checked against the specification: missing items, missing columns, blank mandatory fields, totals that do not foot. Where gaps exist, a chase email is drafted from the gaps alone and issued. The case sits in “waiting” for as long as the taxpayer takes — weeks to months — and every new document triggers an automatic recheck, not a manual one.</w:t>
      </w:r>
    </w:p>
    <w:p>
      <w:pPr>
        <w:pStyle w:val="ListParagraph"/>
        <w:numPr>
          <w:ilvl w:val="0"/>
          <w:numId w:val="2"/>
        </w:numPr>
        <w:spacing w:after="90" w:line="268"/>
      </w:pPr>
      <w:r>
        <w:rPr>
          <w:b/>
          <w:bCs/>
          <w:color w:val="1B2A4A"/>
          <w:sz w:val="21"/>
          <w:szCs w:val="21"/>
        </w:rPr>
        <w:t xml:space="preserve">4 · Review. </w:t>
      </w:r>
      <w:r>
        <w:rPr>
          <w:b w:val="false"/>
          <w:bCs w:val="false"/>
          <w:color w:val="23282E"/>
          <w:sz w:val="21"/>
          <w:szCs w:val="21"/>
        </w:rPr>
        <w:t xml:space="preserve">Once the evidence is as complete as it will get, every line in each box is walked through the qualification rules and summed into an expected figure, then compared to declared. If the difference is within materiality, the case is done. If not, the four agents propose hypotheses, a deterministic adjudicator settles each one against the engine's own data, a challenger tests whether the leading hypothesis really accounts for the whole gap, and a conclusion is reached for the auditor to validate.</w:t>
      </w:r>
    </w:p>
    <w:p>
      <w:pPr>
        <w:pStyle w:val="ListParagraph"/>
        <w:numPr>
          <w:ilvl w:val="0"/>
          <w:numId w:val="2"/>
        </w:numPr>
        <w:spacing w:after="90" w:line="268"/>
      </w:pPr>
      <w:r>
        <w:rPr>
          <w:b/>
          <w:bCs/>
          <w:color w:val="1B2A4A"/>
          <w:sz w:val="21"/>
          <w:szCs w:val="21"/>
        </w:rPr>
        <w:t xml:space="preserve">5 · Closure. </w:t>
      </w:r>
      <w:r>
        <w:rPr>
          <w:b w:val="false"/>
          <w:bCs w:val="false"/>
          <w:color w:val="23282E"/>
          <w:sz w:val="21"/>
          <w:szCs w:val="21"/>
        </w:rPr>
        <w:t xml:space="preserve">The audit report and the taxpayer verdict letter are drafted section by section, in the Authority's own template order, with every number a placeholder token the engine fills in verbatim. The auditor reviews and approves.</w:t>
      </w:r>
    </w:p>
    <w:p>
      <w:pPr>
        <w:pStyle w:val="Heading1"/>
        <w:pBdr>
          <w:bottom w:val="single" w:color="0E6B57" w:sz="6" w:space="4"/>
        </w:pBdr>
        <w:spacing w:after="160" w:before="420"/>
      </w:pPr>
      <w:r>
        <w:rPr>
          <w:b/>
          <w:bCs/>
          <w:color w:val="1B2A4A"/>
          <w:sz w:val="28"/>
          <w:szCs w:val="28"/>
        </w:rPr>
        <w:t xml:space="preserve">7. Status of the Taxpayer Journey</w:t>
      </w:r>
    </w:p>
    <w:p>
      <w:pPr>
        <w:spacing w:after="140" w:line="276"/>
      </w:pPr>
      <w:r>
        <w:rPr>
          <w:color w:val="23282E"/>
          <w:sz w:val="21"/>
          <w:szCs w:val="21"/>
        </w:rPr>
        <w:t xml:space="preserve">Which of the five stages are functioning under the current scope, and which are deliberately dormant: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6000"/>
      </w:tblGrid>
      <w:tr>
        <w:tc>
          <w:tcPr>
            <w:tcW w:type="dxa" w:w="1900"/>
            <w:shd w:fill="1B2A4A" w:val="clear"/>
            <w:tcMar>
              <w:top w:type="dxa" w:w="90"/>
              <w:left w:type="dxa" w:w="120"/>
              <w:bottom w:type="dxa" w:w="90"/>
              <w:right w:type="dxa" w:w="120"/>
            </w:tcMar>
          </w:tcPr>
          <w:p>
            <w:r>
              <w:rPr>
                <w:b/>
                <w:bCs/>
                <w:color w:val="FFFFFF"/>
                <w:sz w:val="19"/>
                <w:szCs w:val="19"/>
              </w:rPr>
              <w:t xml:space="preserve">Stage</w:t>
            </w:r>
          </w:p>
        </w:tc>
        <w:tc>
          <w:tcPr>
            <w:tcW w:type="dxa" w:w="1600"/>
            <w:shd w:fill="1B2A4A" w:val="clear"/>
            <w:tcMar>
              <w:top w:type="dxa" w:w="90"/>
              <w:left w:type="dxa" w:w="120"/>
              <w:bottom w:type="dxa" w:w="90"/>
              <w:right w:type="dxa" w:w="120"/>
            </w:tcMar>
          </w:tcPr>
          <w:p>
            <w:r>
              <w:rPr>
                <w:b/>
                <w:bCs/>
                <w:color w:val="FFFFFF"/>
                <w:sz w:val="19"/>
                <w:szCs w:val="19"/>
              </w:rPr>
              <w:t xml:space="preserve">Status</w:t>
            </w:r>
          </w:p>
        </w:tc>
        <w:tc>
          <w:tcPr>
            <w:tcW w:type="dxa" w:w="6000"/>
            <w:shd w:fill="1B2A4A" w:val="clear"/>
            <w:tcMar>
              <w:top w:type="dxa" w:w="90"/>
              <w:left w:type="dxa" w:w="120"/>
              <w:bottom w:type="dxa" w:w="90"/>
              <w:right w:type="dxa" w:w="120"/>
            </w:tcMar>
          </w:tcPr>
          <w:p>
            <w:r>
              <w:rPr>
                <w:b/>
                <w:bCs/>
                <w:color w:val="FFFFFF"/>
                <w:sz w:val="19"/>
                <w:szCs w:val="19"/>
              </w:rPr>
              <w:t xml:space="preserve">Note</w:t>
            </w:r>
          </w:p>
        </w:tc>
      </w:tr>
      <w:tr>
        <w:tc>
          <w:tcPr>
            <w:tcW w:type="dxa" w:w="1900"/>
            <w:tcMar>
              <w:top w:type="dxa" w:w="90"/>
              <w:left w:type="dxa" w:w="120"/>
              <w:bottom w:type="dxa" w:w="90"/>
              <w:right w:type="dxa" w:w="120"/>
            </w:tcMar>
          </w:tcPr>
          <w:p>
            <w:r>
              <w:rPr>
                <w:b w:val="false"/>
                <w:bCs w:val="false"/>
                <w:color w:val="23282E"/>
                <w:sz w:val="19"/>
                <w:szCs w:val="19"/>
              </w:rPr>
              <w:t xml:space="preserve">Intake</w:t>
            </w:r>
          </w:p>
        </w:tc>
        <w:tc>
          <w:tcPr>
            <w:tcW w:type="dxa" w:w="1600"/>
            <w:tcMar>
              <w:top w:type="dxa" w:w="90"/>
              <w:left w:type="dxa" w:w="120"/>
              <w:bottom w:type="dxa" w:w="90"/>
              <w:right w:type="dxa" w:w="120"/>
            </w:tcMar>
          </w:tcPr>
          <w:p>
            <w:r>
              <w:rPr>
                <w:b w:val="false"/>
                <w:bCs w:val="false"/>
                <w:color w:val="23282E"/>
                <w:sz w:val="19"/>
                <w:szCs w:val="19"/>
              </w:rPr>
              <w:t xml:space="preserve">Live</w:t>
            </w:r>
          </w:p>
        </w:tc>
        <w:tc>
          <w:tcPr>
            <w:tcW w:type="dxa" w:w="6000"/>
            <w:tcMar>
              <w:top w:type="dxa" w:w="90"/>
              <w:left w:type="dxa" w:w="120"/>
              <w:bottom w:type="dxa" w:w="90"/>
              <w:right w:type="dxa" w:w="120"/>
            </w:tcMar>
          </w:tcPr>
          <w:p>
            <w:r>
              <w:rPr>
                <w:b w:val="false"/>
                <w:bCs w:val="false"/>
                <w:color w:val="23282E"/>
                <w:sz w:val="19"/>
                <w:szCs w:val="19"/>
              </w:rPr>
              <w:t xml:space="preserve">Dossier assembly and request-email-to-spec parsing both run today.</w:t>
            </w:r>
          </w:p>
        </w:tc>
      </w:tr>
      <w:tr>
        <w:tc>
          <w:tcPr>
            <w:tcW w:type="dxa" w:w="1900"/>
            <w:shd w:fill="EFF3F1" w:val="clear"/>
            <w:tcMar>
              <w:top w:type="dxa" w:w="90"/>
              <w:left w:type="dxa" w:w="120"/>
              <w:bottom w:type="dxa" w:w="90"/>
              <w:right w:type="dxa" w:w="120"/>
            </w:tcMar>
          </w:tcPr>
          <w:p>
            <w:r>
              <w:rPr>
                <w:b w:val="false"/>
                <w:bCs w:val="false"/>
                <w:color w:val="23282E"/>
                <w:sz w:val="19"/>
                <w:szCs w:val="19"/>
              </w:rPr>
              <w:t xml:space="preserve">Planning</w:t>
            </w:r>
          </w:p>
        </w:tc>
        <w:tc>
          <w:tcPr>
            <w:tcW w:type="dxa" w:w="1600"/>
            <w:shd w:fill="EFF3F1" w:val="clear"/>
            <w:tcMar>
              <w:top w:type="dxa" w:w="90"/>
              <w:left w:type="dxa" w:w="120"/>
              <w:bottom w:type="dxa" w:w="90"/>
              <w:right w:type="dxa" w:w="120"/>
            </w:tcMar>
          </w:tcPr>
          <w:p>
            <w:r>
              <w:rPr>
                <w:b w:val="false"/>
                <w:bCs w:val="false"/>
                <w:color w:val="23282E"/>
                <w:sz w:val="19"/>
                <w:szCs w:val="19"/>
              </w:rPr>
              <w:t xml:space="preserve">Dormant</w:t>
            </w:r>
          </w:p>
        </w:tc>
        <w:tc>
          <w:tcPr>
            <w:tcW w:type="dxa" w:w="6000"/>
            <w:shd w:fill="EFF3F1" w:val="clear"/>
            <w:tcMar>
              <w:top w:type="dxa" w:w="90"/>
              <w:left w:type="dxa" w:w="120"/>
              <w:bottom w:type="dxa" w:w="90"/>
              <w:right w:type="dxa" w:w="120"/>
            </w:tcMar>
          </w:tcPr>
          <w:p>
            <w:r>
              <w:rPr>
                <w:b w:val="false"/>
                <w:bCs w:val="false"/>
                <w:color w:val="23282E"/>
                <w:sz w:val="19"/>
                <w:szCs w:val="19"/>
              </w:rPr>
              <w:t xml:space="preserve">The standalone planning stage (precedent retrieval, risk-engine ingestion, the request planner) is kept and tested, not deleted — the current build starts directly from the auditor's own request instead.</w:t>
            </w:r>
          </w:p>
        </w:tc>
      </w:tr>
      <w:tr>
        <w:tc>
          <w:tcPr>
            <w:tcW w:type="dxa" w:w="1900"/>
            <w:tcMar>
              <w:top w:type="dxa" w:w="90"/>
              <w:left w:type="dxa" w:w="120"/>
              <w:bottom w:type="dxa" w:w="90"/>
              <w:right w:type="dxa" w:w="120"/>
            </w:tcMar>
          </w:tcPr>
          <w:p>
            <w:r>
              <w:rPr>
                <w:b w:val="false"/>
                <w:bCs w:val="false"/>
                <w:color w:val="23282E"/>
                <w:sz w:val="19"/>
                <w:szCs w:val="19"/>
              </w:rPr>
              <w:t xml:space="preserve">Correspondence</w:t>
            </w:r>
          </w:p>
        </w:tc>
        <w:tc>
          <w:tcPr>
            <w:tcW w:type="dxa" w:w="1600"/>
            <w:tcMar>
              <w:top w:type="dxa" w:w="90"/>
              <w:left w:type="dxa" w:w="120"/>
              <w:bottom w:type="dxa" w:w="90"/>
              <w:right w:type="dxa" w:w="120"/>
            </w:tcMar>
          </w:tcPr>
          <w:p>
            <w:r>
              <w:rPr>
                <w:b w:val="false"/>
                <w:bCs w:val="false"/>
                <w:color w:val="23282E"/>
                <w:sz w:val="19"/>
                <w:szCs w:val="19"/>
              </w:rPr>
              <w:t xml:space="preserve">Live</w:t>
            </w:r>
          </w:p>
        </w:tc>
        <w:tc>
          <w:tcPr>
            <w:tcW w:type="dxa" w:w="6000"/>
            <w:tcMar>
              <w:top w:type="dxa" w:w="90"/>
              <w:left w:type="dxa" w:w="120"/>
              <w:bottom w:type="dxa" w:w="90"/>
              <w:right w:type="dxa" w:w="120"/>
            </w:tcMar>
          </w:tcPr>
          <w:p>
            <w:r>
              <w:rPr>
                <w:b w:val="false"/>
                <w:bCs w:val="false"/>
                <w:color w:val="23282E"/>
                <w:sz w:val="19"/>
                <w:szCs w:val="19"/>
              </w:rPr>
              <w:t xml:space="preserve">The completeness-check and chase-email loop — this is job #1 of the current scope.</w:t>
            </w:r>
          </w:p>
        </w:tc>
      </w:tr>
      <w:tr>
        <w:tc>
          <w:tcPr>
            <w:tcW w:type="dxa" w:w="1900"/>
            <w:shd w:fill="EFF3F1" w:val="clear"/>
            <w:tcMar>
              <w:top w:type="dxa" w:w="90"/>
              <w:left w:type="dxa" w:w="120"/>
              <w:bottom w:type="dxa" w:w="90"/>
              <w:right w:type="dxa" w:w="120"/>
            </w:tcMar>
          </w:tcPr>
          <w:p>
            <w:r>
              <w:rPr>
                <w:b w:val="false"/>
                <w:bCs w:val="false"/>
                <w:color w:val="23282E"/>
                <w:sz w:val="19"/>
                <w:szCs w:val="19"/>
              </w:rPr>
              <w:t xml:space="preserve">Review</w:t>
            </w:r>
          </w:p>
        </w:tc>
        <w:tc>
          <w:tcPr>
            <w:tcW w:type="dxa" w:w="1600"/>
            <w:shd w:fill="EFF3F1" w:val="clear"/>
            <w:tcMar>
              <w:top w:type="dxa" w:w="90"/>
              <w:left w:type="dxa" w:w="120"/>
              <w:bottom w:type="dxa" w:w="90"/>
              <w:right w:type="dxa" w:w="120"/>
            </w:tcMar>
          </w:tcPr>
          <w:p>
            <w:r>
              <w:rPr>
                <w:b w:val="false"/>
                <w:bCs w:val="false"/>
                <w:color w:val="23282E"/>
                <w:sz w:val="19"/>
                <w:szCs w:val="19"/>
              </w:rPr>
              <w:t xml:space="preserve">Live</w:t>
            </w:r>
          </w:p>
        </w:tc>
        <w:tc>
          <w:tcPr>
            <w:tcW w:type="dxa" w:w="6000"/>
            <w:shd w:fill="EFF3F1" w:val="clear"/>
            <w:tcMar>
              <w:top w:type="dxa" w:w="90"/>
              <w:left w:type="dxa" w:w="120"/>
              <w:bottom w:type="dxa" w:w="90"/>
              <w:right w:type="dxa" w:w="120"/>
            </w:tcMar>
          </w:tcPr>
          <w:p>
            <w:r>
              <w:rPr>
                <w:b w:val="false"/>
                <w:bCs w:val="false"/>
                <w:color w:val="23282E"/>
                <w:sz w:val="19"/>
                <w:szCs w:val="19"/>
              </w:rPr>
              <w:t xml:space="preserve">Qualify → sum → compare → four-agent investigation → adjudication — this is job #2, the reconciliation core.</w:t>
            </w:r>
          </w:p>
        </w:tc>
      </w:tr>
      <w:tr>
        <w:tc>
          <w:tcPr>
            <w:tcW w:type="dxa" w:w="1900"/>
            <w:tcMar>
              <w:top w:type="dxa" w:w="90"/>
              <w:left w:type="dxa" w:w="120"/>
              <w:bottom w:type="dxa" w:w="90"/>
              <w:right w:type="dxa" w:w="120"/>
            </w:tcMar>
          </w:tcPr>
          <w:p>
            <w:r>
              <w:rPr>
                <w:b w:val="false"/>
                <w:bCs w:val="false"/>
                <w:color w:val="23282E"/>
                <w:sz w:val="19"/>
                <w:szCs w:val="19"/>
              </w:rPr>
              <w:t xml:space="preserve">Closure</w:t>
            </w:r>
          </w:p>
        </w:tc>
        <w:tc>
          <w:tcPr>
            <w:tcW w:type="dxa" w:w="1600"/>
            <w:tcMar>
              <w:top w:type="dxa" w:w="90"/>
              <w:left w:type="dxa" w:w="120"/>
              <w:bottom w:type="dxa" w:w="90"/>
              <w:right w:type="dxa" w:w="120"/>
            </w:tcMar>
          </w:tcPr>
          <w:p>
            <w:r>
              <w:rPr>
                <w:b w:val="false"/>
                <w:bCs w:val="false"/>
                <w:color w:val="23282E"/>
                <w:sz w:val="19"/>
                <w:szCs w:val="19"/>
              </w:rPr>
              <w:t xml:space="preserve">Live</w:t>
            </w:r>
          </w:p>
        </w:tc>
        <w:tc>
          <w:tcPr>
            <w:tcW w:type="dxa" w:w="6000"/>
            <w:tcMar>
              <w:top w:type="dxa" w:w="90"/>
              <w:left w:type="dxa" w:w="120"/>
              <w:bottom w:type="dxa" w:w="90"/>
              <w:right w:type="dxa" w:w="120"/>
            </w:tcMar>
          </w:tcPr>
          <w:p>
            <w:r>
              <w:rPr>
                <w:b w:val="false"/>
                <w:bCs w:val="false"/>
                <w:color w:val="23282E"/>
                <w:sz w:val="19"/>
                <w:szCs w:val="19"/>
              </w:rPr>
              <w:t xml:space="preserve">The audit report builds all six sections in the Authority's own order; a field the case cannot answer is labelled honestly (“[not held]” or “[for the auditor to complete]”) rather than guessed.</w:t>
            </w:r>
          </w:p>
        </w:tc>
      </w:tr>
    </w:tbl>
    <w:p>
      <w:pPr>
        <w:pStyle w:val="Heading1"/>
        <w:pBdr>
          <w:bottom w:val="single" w:color="0E6B57" w:sz="6" w:space="4"/>
        </w:pBdr>
        <w:spacing w:after="160" w:before="420"/>
      </w:pPr>
      <w:r>
        <w:rPr>
          <w:b/>
          <w:bCs/>
          <w:color w:val="1B2A4A"/>
          <w:sz w:val="28"/>
          <w:szCs w:val="28"/>
        </w:rPr>
        <w:t xml:space="preserve">8. Current Challenges Faced by Auditors</w:t>
      </w:r>
    </w:p>
    <w:p>
      <w:pPr>
        <w:spacing w:after="140" w:line="276"/>
      </w:pPr>
      <w:r>
        <w:rPr>
          <w:color w:val="23282E"/>
          <w:sz w:val="21"/>
          <w:szCs w:val="21"/>
        </w:rPr>
        <w:t xml:space="preserve">Restating Section 3 with the concrete cost of each pain point, as the direct lead-in to what was built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3200"/>
            <w:shd w:fill="1B2A4A" w:val="clear"/>
            <w:tcMar>
              <w:top w:type="dxa" w:w="90"/>
              <w:left w:type="dxa" w:w="120"/>
              <w:bottom w:type="dxa" w:w="90"/>
              <w:right w:type="dxa" w:w="120"/>
            </w:tcMar>
          </w:tcPr>
          <w:p>
            <w:r>
              <w:rPr>
                <w:b/>
                <w:bCs/>
                <w:color w:val="FFFFFF"/>
                <w:sz w:val="19"/>
                <w:szCs w:val="19"/>
              </w:rPr>
              <w:t xml:space="preserve">Pain point</w:t>
            </w:r>
          </w:p>
        </w:tc>
        <w:tc>
          <w:tcPr>
            <w:tcW w:type="dxa" w:w="6300"/>
            <w:shd w:fill="1B2A4A" w:val="clear"/>
            <w:tcMar>
              <w:top w:type="dxa" w:w="90"/>
              <w:left w:type="dxa" w:w="120"/>
              <w:bottom w:type="dxa" w:w="90"/>
              <w:right w:type="dxa" w:w="120"/>
            </w:tcMar>
          </w:tcPr>
          <w:p>
            <w:r>
              <w:rPr>
                <w:b/>
                <w:bCs/>
                <w:color w:val="FFFFFF"/>
                <w:sz w:val="19"/>
                <w:szCs w:val="19"/>
              </w:rPr>
              <w:t xml:space="preserve">What it costs today</w:t>
            </w:r>
          </w:p>
        </w:tc>
      </w:tr>
      <w:tr>
        <w:tc>
          <w:tcPr>
            <w:tcW w:type="dxa" w:w="3200"/>
            <w:tcMar>
              <w:top w:type="dxa" w:w="90"/>
              <w:left w:type="dxa" w:w="120"/>
              <w:bottom w:type="dxa" w:w="90"/>
              <w:right w:type="dxa" w:w="120"/>
            </w:tcMar>
          </w:tcPr>
          <w:p>
            <w:r>
              <w:rPr>
                <w:b w:val="false"/>
                <w:bCs w:val="false"/>
                <w:color w:val="23282E"/>
                <w:sz w:val="19"/>
                <w:szCs w:val="19"/>
              </w:rPr>
              <w:t xml:space="preserve">1. Months-long correspondence</w:t>
            </w:r>
          </w:p>
        </w:tc>
        <w:tc>
          <w:tcPr>
            <w:tcW w:type="dxa" w:w="6300"/>
            <w:tcMar>
              <w:top w:type="dxa" w:w="90"/>
              <w:left w:type="dxa" w:w="120"/>
              <w:bottom w:type="dxa" w:w="90"/>
              <w:right w:type="dxa" w:w="120"/>
            </w:tcMar>
          </w:tcPr>
          <w:p>
            <w:r>
              <w:rPr>
                <w:b w:val="false"/>
                <w:bCs w:val="false"/>
                <w:color w:val="23282E"/>
                <w:sz w:val="19"/>
                <w:szCs w:val="19"/>
              </w:rPr>
              <w:t xml:space="preserve">Each round of “you left out two columns” costs weeks; a case can run months on correspondence alone. Work that is genuinely blocked on the taxpayer is indistinguishable, in most systems, from work the auditor has simply not picked up.</w:t>
            </w:r>
          </w:p>
        </w:tc>
      </w:tr>
      <w:tr>
        <w:tc>
          <w:tcPr>
            <w:tcW w:type="dxa" w:w="3200"/>
            <w:shd w:fill="EFF3F1" w:val="clear"/>
            <w:tcMar>
              <w:top w:type="dxa" w:w="90"/>
              <w:left w:type="dxa" w:w="120"/>
              <w:bottom w:type="dxa" w:w="90"/>
              <w:right w:type="dxa" w:w="120"/>
            </w:tcMar>
          </w:tcPr>
          <w:p>
            <w:r>
              <w:rPr>
                <w:b w:val="false"/>
                <w:bCs w:val="false"/>
                <w:color w:val="23282E"/>
                <w:sz w:val="19"/>
                <w:szCs w:val="19"/>
              </w:rPr>
              <w:t xml:space="preserve">2. Structure over substance</w:t>
            </w:r>
          </w:p>
        </w:tc>
        <w:tc>
          <w:tcPr>
            <w:tcW w:type="dxa" w:w="6300"/>
            <w:shd w:fill="EFF3F1" w:val="clear"/>
            <w:tcMar>
              <w:top w:type="dxa" w:w="90"/>
              <w:left w:type="dxa" w:w="120"/>
              <w:bottom w:type="dxa" w:w="90"/>
              <w:right w:type="dxa" w:w="120"/>
            </w:tcMar>
          </w:tcPr>
          <w:p>
            <w:r>
              <w:rPr>
                <w:b w:val="false"/>
                <w:bCs w:val="false"/>
                <w:color w:val="23282E"/>
                <w:sz w:val="19"/>
                <w:szCs w:val="19"/>
              </w:rPr>
              <w:t xml:space="preserve">The bulk of every response review is spent on completeness, field presence and whether totals foot — before any tax judgement is applied at all.</w:t>
            </w:r>
          </w:p>
        </w:tc>
      </w:tr>
      <w:tr>
        <w:tc>
          <w:tcPr>
            <w:tcW w:type="dxa" w:w="3200"/>
            <w:tcMar>
              <w:top w:type="dxa" w:w="90"/>
              <w:left w:type="dxa" w:w="120"/>
              <w:bottom w:type="dxa" w:w="90"/>
              <w:right w:type="dxa" w:w="120"/>
            </w:tcMar>
          </w:tcPr>
          <w:p>
            <w:r>
              <w:rPr>
                <w:b w:val="false"/>
                <w:bCs w:val="false"/>
                <w:color w:val="23282E"/>
                <w:sz w:val="19"/>
                <w:szCs w:val="19"/>
              </w:rPr>
              <w:t xml:space="preserve">3. Fragmented internal data</w:t>
            </w:r>
          </w:p>
        </w:tc>
        <w:tc>
          <w:tcPr>
            <w:tcW w:type="dxa" w:w="6300"/>
            <w:tcMar>
              <w:top w:type="dxa" w:w="90"/>
              <w:left w:type="dxa" w:w="120"/>
              <w:bottom w:type="dxa" w:w="90"/>
              <w:right w:type="dxa" w:w="120"/>
            </w:tcMar>
          </w:tcPr>
          <w:p>
            <w:r>
              <w:rPr>
                <w:b w:val="false"/>
                <w:bCs w:val="false"/>
                <w:color w:val="23282E"/>
                <w:sz w:val="19"/>
                <w:szCs w:val="19"/>
              </w:rPr>
              <w:t xml:space="preserve">“Investigate internal data first” means opening several separate systems in turn just to know what ZATCA already holds, before any genuine gap can be identified.</w:t>
            </w:r>
          </w:p>
        </w:tc>
      </w:tr>
      <w:tr>
        <w:tc>
          <w:tcPr>
            <w:tcW w:type="dxa" w:w="3200"/>
            <w:shd w:fill="EFF3F1" w:val="clear"/>
            <w:tcMar>
              <w:top w:type="dxa" w:w="90"/>
              <w:left w:type="dxa" w:w="120"/>
              <w:bottom w:type="dxa" w:w="90"/>
              <w:right w:type="dxa" w:w="120"/>
            </w:tcMar>
          </w:tcPr>
          <w:p>
            <w:r>
              <w:rPr>
                <w:b w:val="false"/>
                <w:bCs w:val="false"/>
                <w:color w:val="23282E"/>
                <w:sz w:val="19"/>
                <w:szCs w:val="19"/>
              </w:rPr>
              <w:t xml:space="preserve">4. Tacit institutional knowledge</w:t>
            </w:r>
          </w:p>
        </w:tc>
        <w:tc>
          <w:tcPr>
            <w:tcW w:type="dxa" w:w="6300"/>
            <w:shd w:fill="EFF3F1" w:val="clear"/>
            <w:tcMar>
              <w:top w:type="dxa" w:w="90"/>
              <w:left w:type="dxa" w:w="120"/>
              <w:bottom w:type="dxa" w:w="90"/>
              <w:right w:type="dxa" w:w="120"/>
            </w:tcMar>
          </w:tcPr>
          <w:p>
            <w:r>
              <w:rPr>
                <w:b w:val="false"/>
                <w:bCs w:val="false"/>
                <w:color w:val="23282E"/>
                <w:sz w:val="19"/>
                <w:szCs w:val="19"/>
              </w:rPr>
              <w:t xml:space="preserve">Regulatory interpretation, sector patterns and precedent from past cases live in individual auditors' experience, with no shared, retrievable record.</w:t>
            </w:r>
          </w:p>
        </w:tc>
      </w:tr>
    </w:tbl>
    <w:p>
      <w:pPr>
        <w:pStyle w:val="Heading1"/>
        <w:pBdr>
          <w:bottom w:val="single" w:color="0E6B57" w:sz="6" w:space="4"/>
        </w:pBdr>
        <w:spacing w:after="160" w:before="420"/>
      </w:pPr>
      <w:r>
        <w:rPr>
          <w:b/>
          <w:bCs/>
          <w:color w:val="1B2A4A"/>
          <w:sz w:val="28"/>
          <w:szCs w:val="28"/>
        </w:rPr>
        <w:t xml:space="preserve">9. Solutions We Went With</w:t>
      </w:r>
    </w:p>
    <w:p>
      <w:pPr>
        <w:pStyle w:val="ListParagraph"/>
        <w:numPr>
          <w:ilvl w:val="0"/>
          <w:numId w:val="2"/>
        </w:numPr>
        <w:spacing w:after="90" w:line="268"/>
      </w:pPr>
      <w:r>
        <w:rPr>
          <w:b/>
          <w:bCs/>
          <w:color w:val="1B2A4A"/>
          <w:sz w:val="21"/>
          <w:szCs w:val="21"/>
        </w:rPr>
        <w:t xml:space="preserve">Against #1 (months-long correspondence): </w:t>
      </w:r>
      <w:r>
        <w:rPr>
          <w:b w:val="false"/>
          <w:bCs w:val="false"/>
          <w:color w:val="23282E"/>
          <w:sz w:val="21"/>
          <w:szCs w:val="21"/>
        </w:rPr>
        <w:t xml:space="preserve">a lifecycle machine where every stage is computed, never stored, and “waiting on the taxpayer” is a distinct, explicit state — so a case queue can finally tell the two apart. Completeness is rechecked automatically on every new document, not manually.</w:t>
      </w:r>
    </w:p>
    <w:p>
      <w:pPr>
        <w:pStyle w:val="ListParagraph"/>
        <w:numPr>
          <w:ilvl w:val="0"/>
          <w:numId w:val="2"/>
        </w:numPr>
        <w:spacing w:after="90" w:line="268"/>
      </w:pPr>
      <w:r>
        <w:rPr>
          <w:b/>
          <w:bCs/>
          <w:color w:val="1B2A4A"/>
          <w:sz w:val="21"/>
          <w:szCs w:val="21"/>
        </w:rPr>
        <w:t xml:space="preserve">Against #2 (structure over substance): </w:t>
      </w:r>
      <w:r>
        <w:rPr>
          <w:b w:val="false"/>
          <w:bCs w:val="false"/>
          <w:color w:val="23282E"/>
          <w:sz w:val="21"/>
          <w:szCs w:val="21"/>
        </w:rPr>
        <w:t xml:space="preserve">a deterministic completeness checker tests structure, columns, blank fields and footing against the parsed request spec before any tax question is asked, and drafts the chase email from the gaps alone.</w:t>
      </w:r>
    </w:p>
    <w:p>
      <w:pPr>
        <w:pStyle w:val="ListParagraph"/>
        <w:numPr>
          <w:ilvl w:val="0"/>
          <w:numId w:val="2"/>
        </w:numPr>
        <w:spacing w:after="90" w:line="268"/>
      </w:pPr>
      <w:r>
        <w:rPr>
          <w:b/>
          <w:bCs/>
          <w:color w:val="1B2A4A"/>
          <w:sz w:val="21"/>
          <w:szCs w:val="21"/>
        </w:rPr>
        <w:t xml:space="preserve">Against #3 (fragmented data): </w:t>
      </w:r>
      <w:r>
        <w:rPr>
          <w:b w:val="false"/>
          <w:bCs w:val="false"/>
          <w:color w:val="23282E"/>
          <w:sz w:val="21"/>
          <w:szCs w:val="21"/>
        </w:rPr>
        <w:t xml:space="preserve">a single dossier-assembly call brings together everything ZATCA already holds about the taxpayer and period, in one screen.</w:t>
      </w:r>
    </w:p>
    <w:p>
      <w:pPr>
        <w:pStyle w:val="ListParagraph"/>
        <w:numPr>
          <w:ilvl w:val="0"/>
          <w:numId w:val="2"/>
        </w:numPr>
        <w:spacing w:after="90" w:line="268"/>
      </w:pPr>
      <w:r>
        <w:rPr>
          <w:b/>
          <w:bCs/>
          <w:color w:val="1B2A4A"/>
          <w:sz w:val="21"/>
          <w:szCs w:val="21"/>
        </w:rPr>
        <w:t xml:space="preserve">Against #4 (tacit knowledge): </w:t>
      </w:r>
      <w:r>
        <w:rPr>
          <w:b w:val="false"/>
          <w:bCs w:val="false"/>
          <w:color w:val="23282E"/>
          <w:sz w:val="21"/>
          <w:szCs w:val="21"/>
        </w:rPr>
        <w:t xml:space="preserve">deliberately deferred rather than half-built. Deterministic precedent retrieval over a labelled corpus of closed cases already exists and is tested, but is dormant under the current scope. It is the intended foundation for the RAG phase discussed in Section 11 — retrieval over governed, validated knowledge, never a model retrained on unreviewed input.</w:t>
      </w:r>
    </w:p>
    <w:p>
      <w:pPr>
        <w:pStyle w:val="Heading2"/>
        <w:spacing w:after="100" w:before="260"/>
      </w:pPr>
      <w:r>
        <w:rPr>
          <w:b/>
          <w:bCs/>
          <w:color w:val="0E6B57"/>
          <w:sz w:val="23"/>
          <w:szCs w:val="23"/>
        </w:rPr>
        <w:t xml:space="preserve">The cross-cutting solution: evidence, not assertion</w:t>
      </w:r>
    </w:p>
    <w:p>
      <w:pPr>
        <w:spacing w:after="140" w:line="276"/>
      </w:pPr>
      <w:r>
        <w:rPr>
          <w:color w:val="23282E"/>
          <w:sz w:val="21"/>
          <w:szCs w:val="21"/>
        </w:rPr>
        <w:t xml:space="preserve">Every confirmed hypothesis becomes a finding only with a named evidentiary basis attached by the adjudicator — not inferred from the test name. This matters concretely: a single sales listing that exceeds the declared return is simultaneously “higher than declared,” “not disclosed,” “does not correspond,” and — with no trial balance on file — a fourth variant, all from one test over one file. An early version of the logic summed all four as if independent and reported SAR 1,854,000 against a real excess of SAR 618,000, stating the same figure in a taxpayer letter four times over. The fix: exposure counts each evidentiary basis once, documentation risk excludes evidence already producing an adjustment, and the letter states each amount once with the alternative readings named beneath it — the basis comes from the adjudicator, never from the test's name.</w:t>
      </w:r>
    </w:p>
    <w:p>
      <w:pPr>
        <w:pStyle w:val="Heading1"/>
        <w:pBdr>
          <w:bottom w:val="single" w:color="0E6B57" w:sz="6" w:space="4"/>
        </w:pBdr>
        <w:spacing w:after="160" w:before="420"/>
      </w:pPr>
      <w:r>
        <w:rPr>
          <w:b/>
          <w:bCs/>
          <w:color w:val="1B2A4A"/>
          <w:sz w:val="28"/>
          <w:szCs w:val="28"/>
        </w:rPr>
        <w:t xml:space="preserve">10. Agents &amp; How They Work</w:t>
      </w:r>
    </w:p>
    <w:p>
      <w:pPr>
        <w:spacing w:after="140" w:line="276"/>
      </w:pPr>
      <w:r>
        <w:rPr>
          <w:color w:val="23282E"/>
          <w:sz w:val="21"/>
          <w:szCs w:val="21"/>
        </w:rPr>
        <w:t xml:space="preserve">Investigation is a bounded, five-round state machine over a shared case file — deliberately not free-form model chat, which would be unauditable and unbounded.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7600"/>
      </w:tblGrid>
      <w:tr>
        <w:tc>
          <w:tcPr>
            <w:tcW w:type="dxa" w:w="1500"/>
            <w:shd w:fill="1B2A4A" w:val="clear"/>
            <w:tcMar>
              <w:top w:type="dxa" w:w="90"/>
              <w:left w:type="dxa" w:w="120"/>
              <w:bottom w:type="dxa" w:w="90"/>
              <w:right w:type="dxa" w:w="120"/>
            </w:tcMar>
          </w:tcPr>
          <w:p>
            <w:r>
              <w:rPr>
                <w:b/>
                <w:bCs/>
                <w:color w:val="FFFFFF"/>
                <w:sz w:val="19"/>
                <w:szCs w:val="19"/>
              </w:rPr>
              <w:t xml:space="preserve">Round</w:t>
            </w:r>
          </w:p>
        </w:tc>
        <w:tc>
          <w:tcPr>
            <w:tcW w:type="dxa" w:w="7600"/>
            <w:shd w:fill="1B2A4A" w:val="clear"/>
            <w:tcMar>
              <w:top w:type="dxa" w:w="90"/>
              <w:left w:type="dxa" w:w="120"/>
              <w:bottom w:type="dxa" w:w="90"/>
              <w:right w:type="dxa" w:w="120"/>
            </w:tcMar>
          </w:tcPr>
          <w:p>
            <w:r>
              <w:rPr>
                <w:b/>
                <w:bCs/>
                <w:color w:val="FFFFFF"/>
                <w:sz w:val="19"/>
                <w:szCs w:val="19"/>
              </w:rPr>
              <w:t xml:space="preserve">What happens</w:t>
            </w:r>
          </w:p>
        </w:tc>
      </w:tr>
      <w:tr>
        <w:tc>
          <w:tcPr>
            <w:tcW w:type="dxa" w:w="1500"/>
            <w:tcMar>
              <w:top w:type="dxa" w:w="90"/>
              <w:left w:type="dxa" w:w="120"/>
              <w:bottom w:type="dxa" w:w="90"/>
              <w:right w:type="dxa" w:w="120"/>
            </w:tcMar>
          </w:tcPr>
          <w:p>
            <w:r>
              <w:rPr>
                <w:b w:val="false"/>
                <w:bCs w:val="false"/>
                <w:color w:val="23282E"/>
                <w:sz w:val="19"/>
                <w:szCs w:val="19"/>
              </w:rPr>
              <w:t xml:space="preserve">0 · Facts</w:t>
            </w:r>
          </w:p>
        </w:tc>
        <w:tc>
          <w:tcPr>
            <w:tcW w:type="dxa" w:w="7600"/>
            <w:tcMar>
              <w:top w:type="dxa" w:w="90"/>
              <w:left w:type="dxa" w:w="120"/>
              <w:bottom w:type="dxa" w:w="90"/>
              <w:right w:type="dxa" w:w="120"/>
            </w:tcMar>
          </w:tcPr>
          <w:p>
            <w:r>
              <w:rPr>
                <w:b w:val="false"/>
                <w:bCs w:val="false"/>
                <w:color w:val="23282E"/>
                <w:sz w:val="19"/>
                <w:szCs w:val="19"/>
              </w:rPr>
              <w:t xml:space="preserve">The deterministic engine publishes what it has already computed — declared, expected, difference, materiality, state — as the shared ground truth every agent reasons over.</w:t>
            </w:r>
          </w:p>
        </w:tc>
      </w:tr>
      <w:tr>
        <w:tc>
          <w:tcPr>
            <w:tcW w:type="dxa" w:w="1500"/>
            <w:shd w:fill="EFF3F1" w:val="clear"/>
            <w:tcMar>
              <w:top w:type="dxa" w:w="90"/>
              <w:left w:type="dxa" w:w="120"/>
              <w:bottom w:type="dxa" w:w="90"/>
              <w:right w:type="dxa" w:w="120"/>
            </w:tcMar>
          </w:tcPr>
          <w:p>
            <w:r>
              <w:rPr>
                <w:b w:val="false"/>
                <w:bCs w:val="false"/>
                <w:color w:val="23282E"/>
                <w:sz w:val="19"/>
                <w:szCs w:val="19"/>
              </w:rPr>
              <w:t xml:space="preserve">1 · Hypotheses</w:t>
            </w:r>
          </w:p>
        </w:tc>
        <w:tc>
          <w:tcPr>
            <w:tcW w:type="dxa" w:w="7600"/>
            <w:shd w:fill="EFF3F1" w:val="clear"/>
            <w:tcMar>
              <w:top w:type="dxa" w:w="90"/>
              <w:left w:type="dxa" w:w="120"/>
              <w:bottom w:type="dxa" w:w="90"/>
              <w:right w:type="dxa" w:w="120"/>
            </w:tcMar>
          </w:tcPr>
          <w:p>
            <w:r>
              <w:rPr>
                <w:b w:val="false"/>
                <w:bCs w:val="false"/>
                <w:color w:val="23282E"/>
                <w:sz w:val="19"/>
                <w:szCs w:val="19"/>
              </w:rPr>
              <w:t xml:space="preserve">The four agents propose in parallel. Each returns language only — a claim and a typed test specification — never a figure and never a conclusion.</w:t>
            </w:r>
          </w:p>
        </w:tc>
      </w:tr>
      <w:tr>
        <w:tc>
          <w:tcPr>
            <w:tcW w:type="dxa" w:w="1500"/>
            <w:tcMar>
              <w:top w:type="dxa" w:w="90"/>
              <w:left w:type="dxa" w:w="120"/>
              <w:bottom w:type="dxa" w:w="90"/>
              <w:right w:type="dxa" w:w="120"/>
            </w:tcMar>
          </w:tcPr>
          <w:p>
            <w:r>
              <w:rPr>
                <w:b w:val="false"/>
                <w:bCs w:val="false"/>
                <w:color w:val="23282E"/>
                <w:sz w:val="19"/>
                <w:szCs w:val="19"/>
              </w:rPr>
              <w:t xml:space="preserve">2 · Adjudication</w:t>
            </w:r>
          </w:p>
        </w:tc>
        <w:tc>
          <w:tcPr>
            <w:tcW w:type="dxa" w:w="7600"/>
            <w:tcMar>
              <w:top w:type="dxa" w:w="90"/>
              <w:left w:type="dxa" w:w="120"/>
              <w:bottom w:type="dxa" w:w="90"/>
              <w:right w:type="dxa" w:w="120"/>
            </w:tcMar>
          </w:tcPr>
          <w:p>
            <w:r>
              <w:rPr>
                <w:b w:val="false"/>
                <w:bCs w:val="false"/>
                <w:color w:val="23282E"/>
                <w:sz w:val="19"/>
                <w:szCs w:val="19"/>
              </w:rPr>
              <w:t xml:space="preserve">A deterministic adjudicator executes every proposed test against the engine's own data and states the amount, if any, and the status: confirmed, rejected, or insufficient evidence.</w:t>
            </w:r>
          </w:p>
        </w:tc>
      </w:tr>
      <w:tr>
        <w:tc>
          <w:tcPr>
            <w:tcW w:type="dxa" w:w="1500"/>
            <w:shd w:fill="EFF3F1" w:val="clear"/>
            <w:tcMar>
              <w:top w:type="dxa" w:w="90"/>
              <w:left w:type="dxa" w:w="120"/>
              <w:bottom w:type="dxa" w:w="90"/>
              <w:right w:type="dxa" w:w="120"/>
            </w:tcMar>
          </w:tcPr>
          <w:p>
            <w:r>
              <w:rPr>
                <w:b w:val="false"/>
                <w:bCs w:val="false"/>
                <w:color w:val="23282E"/>
                <w:sz w:val="19"/>
                <w:szCs w:val="19"/>
              </w:rPr>
              <w:t xml:space="preserve">3 · Objection</w:t>
            </w:r>
          </w:p>
        </w:tc>
        <w:tc>
          <w:tcPr>
            <w:tcW w:type="dxa" w:w="7600"/>
            <w:shd w:fill="EFF3F1" w:val="clear"/>
            <w:tcMar>
              <w:top w:type="dxa" w:w="90"/>
              <w:left w:type="dxa" w:w="120"/>
              <w:bottom w:type="dxa" w:w="90"/>
              <w:right w:type="dxa" w:w="120"/>
            </w:tcMar>
          </w:tcPr>
          <w:p>
            <w:r>
              <w:rPr>
                <w:b w:val="false"/>
                <w:bCs w:val="false"/>
                <w:color w:val="23282E"/>
                <w:sz w:val="19"/>
                <w:szCs w:val="19"/>
              </w:rPr>
              <w:t xml:space="preserve">A challenger tests whether the leading hypothesis really accounts for the whole difference, or whether a rival explanation, or an unexplained shortfall, remains.</w:t>
            </w:r>
          </w:p>
        </w:tc>
      </w:tr>
      <w:tr>
        <w:tc>
          <w:tcPr>
            <w:tcW w:type="dxa" w:w="1500"/>
            <w:tcMar>
              <w:top w:type="dxa" w:w="90"/>
              <w:left w:type="dxa" w:w="120"/>
              <w:bottom w:type="dxa" w:w="90"/>
              <w:right w:type="dxa" w:w="120"/>
            </w:tcMar>
          </w:tcPr>
          <w:p>
            <w:r>
              <w:rPr>
                <w:b w:val="false"/>
                <w:bCs w:val="false"/>
                <w:color w:val="23282E"/>
                <w:sz w:val="19"/>
                <w:szCs w:val="19"/>
              </w:rPr>
              <w:t xml:space="preserve">4 · Conclusion</w:t>
            </w:r>
          </w:p>
        </w:tc>
        <w:tc>
          <w:tcPr>
            <w:tcW w:type="dxa" w:w="7600"/>
            <w:tcMar>
              <w:top w:type="dxa" w:w="90"/>
              <w:left w:type="dxa" w:w="120"/>
              <w:bottom w:type="dxa" w:w="90"/>
              <w:right w:type="dxa" w:w="120"/>
            </w:tcMar>
          </w:tcPr>
          <w:p>
            <w:r>
              <w:rPr>
                <w:b w:val="false"/>
                <w:bCs w:val="false"/>
                <w:color w:val="23282E"/>
                <w:sz w:val="19"/>
                <w:szCs w:val="19"/>
              </w:rPr>
              <w:t xml:space="preserve">The case lead ranks the confirmed hypotheses and states plainly what remains unexplained — or escalates the ranked list to the auditor rather than guessing, if nothing fits.</w:t>
            </w:r>
          </w:p>
        </w:tc>
      </w:tr>
    </w:tbl>
    <w:p>
      <w:pPr>
        <w:spacing w:before="220"/>
      </w:pPr>
    </w:p>
    <w:p>
      <w:pPr>
        <w:pStyle w:val="Heading2"/>
        <w:spacing w:after="100" w:before="260"/>
      </w:pPr>
      <w:r>
        <w:rPr>
          <w:b/>
          <w:bCs/>
          <w:color w:val="0E6B57"/>
          <w:sz w:val="23"/>
          <w:szCs w:val="23"/>
        </w:rPr>
        <w:t xml:space="preserve">The four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50"/>
        <w:gridCol w:w="7350"/>
      </w:tblGrid>
      <w:tr>
        <w:tc>
          <w:tcPr>
            <w:tcW w:type="dxa" w:w="1750"/>
            <w:shd w:fill="1B2A4A" w:val="clear"/>
            <w:tcMar>
              <w:top w:type="dxa" w:w="90"/>
              <w:left w:type="dxa" w:w="120"/>
              <w:bottom w:type="dxa" w:w="90"/>
              <w:right w:type="dxa" w:w="120"/>
            </w:tcMar>
          </w:tcPr>
          <w:p>
            <w:r>
              <w:rPr>
                <w:b/>
                <w:bCs/>
                <w:color w:val="FFFFFF"/>
                <w:sz w:val="19"/>
                <w:szCs w:val="19"/>
              </w:rPr>
              <w:t xml:space="preserve">Agent</w:t>
            </w:r>
          </w:p>
        </w:tc>
        <w:tc>
          <w:tcPr>
            <w:tcW w:type="dxa" w:w="7350"/>
            <w:shd w:fill="1B2A4A" w:val="clear"/>
            <w:tcMar>
              <w:top w:type="dxa" w:w="90"/>
              <w:left w:type="dxa" w:w="120"/>
              <w:bottom w:type="dxa" w:w="90"/>
              <w:right w:type="dxa" w:w="120"/>
            </w:tcMar>
          </w:tcPr>
          <w:p>
            <w:r>
              <w:rPr>
                <w:b/>
                <w:bCs/>
                <w:color w:val="FFFFFF"/>
                <w:sz w:val="19"/>
                <w:szCs w:val="19"/>
              </w:rPr>
              <w:t xml:space="preserve">Owns</w:t>
            </w:r>
          </w:p>
        </w:tc>
      </w:tr>
      <w:tr>
        <w:tc>
          <w:tcPr>
            <w:tcW w:type="dxa" w:w="1750"/>
            <w:tcMar>
              <w:top w:type="dxa" w:w="90"/>
              <w:left w:type="dxa" w:w="120"/>
              <w:bottom w:type="dxa" w:w="90"/>
              <w:right w:type="dxa" w:w="120"/>
            </w:tcMar>
          </w:tcPr>
          <w:p>
            <w:r>
              <w:rPr>
                <w:b w:val="false"/>
                <w:bCs w:val="false"/>
                <w:color w:val="23282E"/>
                <w:sz w:val="19"/>
                <w:szCs w:val="19"/>
              </w:rPr>
              <w:t xml:space="preserve">Regulations</w:t>
            </w:r>
          </w:p>
        </w:tc>
        <w:tc>
          <w:tcPr>
            <w:tcW w:type="dxa" w:w="7350"/>
            <w:tcMar>
              <w:top w:type="dxa" w:w="90"/>
              <w:left w:type="dxa" w:w="120"/>
              <w:bottom w:type="dxa" w:w="90"/>
              <w:right w:type="dxa" w:w="120"/>
            </w:tcMar>
          </w:tcPr>
          <w:p>
            <w:r>
              <w:rPr>
                <w:b w:val="false"/>
                <w:bCs w:val="false"/>
                <w:color w:val="23282E"/>
                <w:sz w:val="19"/>
                <w:szCs w:val="19"/>
              </w:rPr>
              <w:t xml:space="preserve">Not entitled to deduct · valid tax invoice conditions · valid credit note conditions. Cite-or-drop: it may not assert a condition without an article behind it, so it currently runs only the deterministic field-presence checks and a small explicit blocked-expense list, pending the real regulations corpus.</w:t>
            </w:r>
          </w:p>
        </w:tc>
      </w:tr>
      <w:tr>
        <w:tc>
          <w:tcPr>
            <w:tcW w:type="dxa" w:w="1750"/>
            <w:shd w:fill="EFF3F1" w:val="clear"/>
            <w:tcMar>
              <w:top w:type="dxa" w:w="90"/>
              <w:left w:type="dxa" w:w="120"/>
              <w:bottom w:type="dxa" w:w="90"/>
              <w:right w:type="dxa" w:w="120"/>
            </w:tcMar>
          </w:tcPr>
          <w:p>
            <w:r>
              <w:rPr>
                <w:b w:val="false"/>
                <w:bCs w:val="false"/>
                <w:color w:val="23282E"/>
                <w:sz w:val="19"/>
                <w:szCs w:val="19"/>
              </w:rPr>
              <w:t xml:space="preserve">Data Entry</w:t>
            </w:r>
          </w:p>
        </w:tc>
        <w:tc>
          <w:tcPr>
            <w:tcW w:type="dxa" w:w="7350"/>
            <w:shd w:fill="EFF3F1" w:val="clear"/>
            <w:tcMar>
              <w:top w:type="dxa" w:w="90"/>
              <w:left w:type="dxa" w:w="120"/>
              <w:bottom w:type="dxa" w:w="90"/>
              <w:right w:type="dxa" w:w="120"/>
            </w:tcMar>
          </w:tcPr>
          <w:p>
            <w:r>
              <w:rPr>
                <w:b w:val="false"/>
                <w:bCs w:val="false"/>
                <w:color w:val="23282E"/>
                <w:sz w:val="19"/>
                <w:szCs w:val="19"/>
              </w:rPr>
              <w:t xml:space="preserve">Decimal shift, transposition, and out-of-character magnitude — keying errors that would otherwise be read as under-declaration.</w:t>
            </w:r>
          </w:p>
        </w:tc>
      </w:tr>
      <w:tr>
        <w:tc>
          <w:tcPr>
            <w:tcW w:type="dxa" w:w="1750"/>
            <w:tcMar>
              <w:top w:type="dxa" w:w="90"/>
              <w:left w:type="dxa" w:w="120"/>
              <w:bottom w:type="dxa" w:w="90"/>
              <w:right w:type="dxa" w:w="120"/>
            </w:tcMar>
          </w:tcPr>
          <w:p>
            <w:r>
              <w:rPr>
                <w:b w:val="false"/>
                <w:bCs w:val="false"/>
                <w:color w:val="23282E"/>
                <w:sz w:val="19"/>
                <w:szCs w:val="19"/>
              </w:rPr>
              <w:t xml:space="preserve">Calculation</w:t>
            </w:r>
          </w:p>
        </w:tc>
        <w:tc>
          <w:tcPr>
            <w:tcW w:type="dxa" w:w="7350"/>
            <w:tcMar>
              <w:top w:type="dxa" w:w="90"/>
              <w:left w:type="dxa" w:w="120"/>
              <w:bottom w:type="dxa" w:w="90"/>
              <w:right w:type="dxa" w:w="120"/>
            </w:tcMar>
          </w:tcPr>
          <w:p>
            <w:r>
              <w:rPr>
                <w:b w:val="false"/>
                <w:bCs w:val="false"/>
                <w:color w:val="23282E"/>
                <w:sz w:val="19"/>
                <w:szCs w:val="19"/>
              </w:rPr>
              <w:t xml:space="preserve">Listing exceeds declared · POS/bank exceeds declared · undisclosed sales · unreproduced auditor figures. Distinguishes a formally-requested POS/bank record from one merely found on file, so the hypothesis states the stronger provenance when it applies. Also re-derives any figure an auditor keyed in by hand, from a plain-language description of their method — a model reads the sentence and translates it into a structured query; it never touches the arithmetic itself, Python executes the query and produces the number.</w:t>
            </w:r>
          </w:p>
        </w:tc>
      </w:tr>
      <w:tr>
        <w:tc>
          <w:tcPr>
            <w:tcW w:type="dxa" w:w="1750"/>
            <w:shd w:fill="EFF3F1" w:val="clear"/>
            <w:tcMar>
              <w:top w:type="dxa" w:w="90"/>
              <w:left w:type="dxa" w:w="120"/>
              <w:bottom w:type="dxa" w:w="90"/>
              <w:right w:type="dxa" w:w="120"/>
            </w:tcMar>
          </w:tcPr>
          <w:p>
            <w:r>
              <w:rPr>
                <w:b w:val="false"/>
                <w:bCs w:val="false"/>
                <w:color w:val="23282E"/>
                <w:sz w:val="19"/>
                <w:szCs w:val="19"/>
              </w:rPr>
              <w:t xml:space="preserve">Evidence &amp; Coverage</w:t>
            </w:r>
          </w:p>
        </w:tc>
        <w:tc>
          <w:tcPr>
            <w:tcW w:type="dxa" w:w="7350"/>
            <w:shd w:fill="EFF3F1" w:val="clear"/>
            <w:tcMar>
              <w:top w:type="dxa" w:w="90"/>
              <w:left w:type="dxa" w:w="120"/>
              <w:bottom w:type="dxa" w:w="90"/>
              <w:right w:type="dxa" w:w="120"/>
            </w:tcMar>
          </w:tcPr>
          <w:p>
            <w:r>
              <w:rPr>
                <w:b w:val="false"/>
                <w:bCs w:val="false"/>
                <w:color w:val="23282E"/>
                <w:sz w:val="19"/>
                <w:szCs w:val="19"/>
              </w:rPr>
              <w:t xml:space="preserve">Missing supporting documentation · lack of cooperation · documents that do not correspond · no trial balance · undisclosed secondary activity. The largest share of the auditors' own outcome list.</w:t>
            </w:r>
          </w:p>
        </w:tc>
      </w:tr>
    </w:tbl>
    <w:p>
      <w:pPr>
        <w:spacing w:after="140" w:line="276"/>
      </w:pPr>
      <w:r>
        <w:rPr>
          <w:color w:val="23282E"/>
          <w:sz w:val="21"/>
          <w:szCs w:val="21"/>
        </w:rPr>
        <w:t xml:space="preserve">Two fields carry the defensibility weight on every hypothesis: “why” records the observation that triggered it — an auditor has to defend a finding to a taxpayer, and “an agent proposed it” is not a defence — and “outcome_code” is the one route from an agent's language to the Authority's own wording in a report. An agent proposing nothing is itself a correct, informative result: a hypothesis that can only ever return “insufficient evidence” wastes the auditor's attention.</w:t>
      </w:r>
    </w:p>
    <w:p>
      <w:pPr>
        <w:pStyle w:val="Heading2"/>
        <w:spacing w:after="100" w:before="260"/>
      </w:pPr>
      <w:r>
        <w:rPr>
          <w:b/>
          <w:bCs/>
          <w:color w:val="0E6B57"/>
          <w:sz w:val="23"/>
          <w:szCs w:val="23"/>
        </w:rPr>
        <w:t xml:space="preserve">The outcome vocabulary</w:t>
      </w:r>
    </w:p>
    <w:p>
      <w:pPr>
        <w:spacing w:after="140" w:line="276"/>
      </w:pPr>
      <w:r>
        <w:rPr>
          <w:color w:val="23282E"/>
          <w:sz w:val="21"/>
          <w:szCs w:val="21"/>
        </w:rPr>
        <w:t xml:space="preserve">The auditors' own fifteen finding statements are held verbatim in one module, de-duplicated to twelve distinct outcomes. Nothing is phrased ad hoc at the point of use — only this fixed vocabulary reaches a report or a taxpayer letter, and outcome statements never carry digits: the amount is computed by the adjudicator and travels alongside, never interpolated into the sentence.</w:t>
      </w:r>
    </w:p>
    <w:p>
      <w:pPr>
        <w:pStyle w:val="Heading2"/>
        <w:spacing w:after="100" w:before="260"/>
      </w:pPr>
      <w:r>
        <w:rPr>
          <w:b/>
          <w:bCs/>
          <w:color w:val="0E6B57"/>
          <w:sz w:val="23"/>
          <w:szCs w:val="23"/>
        </w:rPr>
        <w:t xml:space="preserve">Every AI call in the system, and what each one is not allowed to do</w:t>
      </w:r>
    </w:p>
    <w:p>
      <w:pPr>
        <w:spacing w:after="140" w:line="276"/>
      </w:pPr>
      <w:r>
        <w:rPr>
          <w:color w:val="23282E"/>
          <w:sz w:val="21"/>
          <w:szCs w:val="21"/>
        </w:rPr>
        <w:t xml:space="preserve">Seven separate, independently verified AI calls — this is the complete inventory, not a sample: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c>
          <w:tcPr>
            <w:tcW w:type="dxa" w:w="2500"/>
            <w:shd w:fill="1B2A4A" w:val="clear"/>
            <w:tcMar>
              <w:top w:type="dxa" w:w="90"/>
              <w:left w:type="dxa" w:w="120"/>
              <w:bottom w:type="dxa" w:w="90"/>
              <w:right w:type="dxa" w:w="120"/>
            </w:tcMar>
          </w:tcPr>
          <w:p>
            <w:r>
              <w:rPr>
                <w:b/>
                <w:bCs/>
                <w:color w:val="FFFFFF"/>
                <w:sz w:val="19"/>
                <w:szCs w:val="19"/>
              </w:rPr>
              <w:t xml:space="preserve">AI call</w:t>
            </w:r>
          </w:p>
        </w:tc>
        <w:tc>
          <w:tcPr>
            <w:tcW w:type="dxa" w:w="7000"/>
            <w:shd w:fill="1B2A4A" w:val="clear"/>
            <w:tcMar>
              <w:top w:type="dxa" w:w="90"/>
              <w:left w:type="dxa" w:w="120"/>
              <w:bottom w:type="dxa" w:w="90"/>
              <w:right w:type="dxa" w:w="120"/>
            </w:tcMar>
          </w:tcPr>
          <w:p>
            <w:r>
              <w:rPr>
                <w:b/>
                <w:bCs/>
                <w:color w:val="FFFFFF"/>
                <w:sz w:val="19"/>
                <w:szCs w:val="19"/>
              </w:rPr>
              <w:t xml:space="preserve">What it does — and does not — do</w:t>
            </w:r>
          </w:p>
        </w:tc>
      </w:tr>
      <w:tr>
        <w:tc>
          <w:tcPr>
            <w:tcW w:type="dxa" w:w="2500"/>
            <w:tcMar>
              <w:top w:type="dxa" w:w="90"/>
              <w:left w:type="dxa" w:w="120"/>
              <w:bottom w:type="dxa" w:w="90"/>
              <w:right w:type="dxa" w:w="120"/>
            </w:tcMar>
          </w:tcPr>
          <w:p>
            <w:r>
              <w:rPr>
                <w:b w:val="false"/>
                <w:bCs w:val="false"/>
                <w:color w:val="23282E"/>
                <w:sz w:val="19"/>
                <w:szCs w:val="19"/>
              </w:rPr>
              <w:t xml:space="preserve">Explain the box</w:t>
            </w:r>
          </w:p>
        </w:tc>
        <w:tc>
          <w:tcPr>
            <w:tcW w:type="dxa" w:w="7000"/>
            <w:tcMar>
              <w:top w:type="dxa" w:w="90"/>
              <w:left w:type="dxa" w:w="120"/>
              <w:bottom w:type="dxa" w:w="90"/>
              <w:right w:type="dxa" w:w="120"/>
            </w:tcMar>
          </w:tcPr>
          <w:p>
            <w:r>
              <w:rPr>
                <w:b w:val="false"/>
                <w:bCs w:val="false"/>
                <w:color w:val="23282E"/>
                <w:sz w:val="19"/>
                <w:szCs w:val="19"/>
              </w:rPr>
              <w:t xml:space="preserve">2–4 sentences on which documents qualify and why declared differs from expected. Figures appear only as placeholder tokens the engine fills in — the model never writes a digit.</w:t>
            </w:r>
          </w:p>
        </w:tc>
      </w:tr>
      <w:tr>
        <w:tc>
          <w:tcPr>
            <w:tcW w:type="dxa" w:w="2500"/>
            <w:shd w:fill="EFF3F1" w:val="clear"/>
            <w:tcMar>
              <w:top w:type="dxa" w:w="90"/>
              <w:left w:type="dxa" w:w="120"/>
              <w:bottom w:type="dxa" w:w="90"/>
              <w:right w:type="dxa" w:w="120"/>
            </w:tcMar>
          </w:tcPr>
          <w:p>
            <w:r>
              <w:rPr>
                <w:b w:val="false"/>
                <w:bCs w:val="false"/>
                <w:color w:val="23282E"/>
                <w:sz w:val="19"/>
                <w:szCs w:val="19"/>
              </w:rPr>
              <w:t xml:space="preserve">Next best action</w:t>
            </w:r>
          </w:p>
        </w:tc>
        <w:tc>
          <w:tcPr>
            <w:tcW w:type="dxa" w:w="7000"/>
            <w:shd w:fill="EFF3F1" w:val="clear"/>
            <w:tcMar>
              <w:top w:type="dxa" w:w="90"/>
              <w:left w:type="dxa" w:w="120"/>
              <w:bottom w:type="dxa" w:w="90"/>
              <w:right w:type="dxa" w:w="120"/>
            </w:tcMar>
          </w:tcPr>
          <w:p>
            <w:r>
              <w:rPr>
                <w:b w:val="false"/>
                <w:bCs w:val="false"/>
                <w:color w:val="23282E"/>
                <w:sz w:val="19"/>
                <w:szCs w:val="19"/>
              </w:rPr>
              <w:t xml:space="preserve">Decides the single, minimal piece of evidence that would confirm or clear the case — genuine decision support, schema-validated, checked against the engine's own state. Overridden by the engine outright when the case is already immaterial, so the AI is never asked to recommend action on a case that needs none.</w:t>
            </w:r>
          </w:p>
        </w:tc>
      </w:tr>
      <w:tr>
        <w:tc>
          <w:tcPr>
            <w:tcW w:type="dxa" w:w="2500"/>
            <w:tcMar>
              <w:top w:type="dxa" w:w="90"/>
              <w:left w:type="dxa" w:w="120"/>
              <w:bottom w:type="dxa" w:w="90"/>
              <w:right w:type="dxa" w:w="120"/>
            </w:tcMar>
          </w:tcPr>
          <w:p>
            <w:r>
              <w:rPr>
                <w:b w:val="false"/>
                <w:bCs w:val="false"/>
                <w:color w:val="23282E"/>
                <w:sz w:val="19"/>
                <w:szCs w:val="19"/>
              </w:rPr>
              <w:t xml:space="preserve">Taxpayer history brief</w:t>
            </w:r>
          </w:p>
        </w:tc>
        <w:tc>
          <w:tcPr>
            <w:tcW w:type="dxa" w:w="7000"/>
            <w:tcMar>
              <w:top w:type="dxa" w:w="90"/>
              <w:left w:type="dxa" w:w="120"/>
              <w:bottom w:type="dxa" w:w="90"/>
              <w:right w:type="dxa" w:w="120"/>
            </w:tcMar>
          </w:tcPr>
          <w:p>
            <w:r>
              <w:rPr>
                <w:b w:val="false"/>
                <w:bCs w:val="false"/>
                <w:color w:val="23282E"/>
                <w:sz w:val="19"/>
                <w:szCs w:val="19"/>
              </w:rPr>
              <w:t xml:space="preserve">Summarises prior returns and prior cases in prose. Verified figure-free — this call is not permitted to state a number at all, only describe a pattern.</w:t>
            </w:r>
          </w:p>
        </w:tc>
      </w:tr>
      <w:tr>
        <w:tc>
          <w:tcPr>
            <w:tcW w:type="dxa" w:w="2500"/>
            <w:shd w:fill="EFF3F1" w:val="clear"/>
            <w:tcMar>
              <w:top w:type="dxa" w:w="90"/>
              <w:left w:type="dxa" w:w="120"/>
              <w:bottom w:type="dxa" w:w="90"/>
              <w:right w:type="dxa" w:w="120"/>
            </w:tcMar>
          </w:tcPr>
          <w:p>
            <w:r>
              <w:rPr>
                <w:b w:val="false"/>
                <w:bCs w:val="false"/>
                <w:color w:val="23282E"/>
                <w:sz w:val="19"/>
                <w:szCs w:val="19"/>
              </w:rPr>
              <w:t xml:space="preserve">Audit report narrative</w:t>
            </w:r>
          </w:p>
        </w:tc>
        <w:tc>
          <w:tcPr>
            <w:tcW w:type="dxa" w:w="7000"/>
            <w:shd w:fill="EFF3F1" w:val="clear"/>
            <w:tcMar>
              <w:top w:type="dxa" w:w="90"/>
              <w:left w:type="dxa" w:w="120"/>
              <w:bottom w:type="dxa" w:w="90"/>
              <w:right w:type="dxa" w:w="120"/>
            </w:tcMar>
          </w:tcPr>
          <w:p>
            <w:r>
              <w:rPr>
                <w:b w:val="false"/>
                <w:bCs w:val="false"/>
                <w:color w:val="23282E"/>
                <w:sz w:val="19"/>
                <w:szCs w:val="19"/>
              </w:rPr>
              <w:t xml:space="preserve">The report is drafted live and streamed to the screen as it is written, across four fixed sections. Verified before any of it is shown.</w:t>
            </w:r>
          </w:p>
        </w:tc>
      </w:tr>
      <w:tr>
        <w:tc>
          <w:tcPr>
            <w:tcW w:type="dxa" w:w="2500"/>
            <w:tcMar>
              <w:top w:type="dxa" w:w="90"/>
              <w:left w:type="dxa" w:w="120"/>
              <w:bottom w:type="dxa" w:w="90"/>
              <w:right w:type="dxa" w:w="120"/>
            </w:tcMar>
          </w:tcPr>
          <w:p>
            <w:r>
              <w:rPr>
                <w:b w:val="false"/>
                <w:bCs w:val="false"/>
                <w:color w:val="23282E"/>
                <w:sz w:val="19"/>
                <w:szCs w:val="19"/>
              </w:rPr>
              <w:t xml:space="preserve">Read a taxpayer letter</w:t>
            </w:r>
          </w:p>
        </w:tc>
        <w:tc>
          <w:tcPr>
            <w:tcW w:type="dxa" w:w="7000"/>
            <w:tcMar>
              <w:top w:type="dxa" w:w="90"/>
              <w:left w:type="dxa" w:w="120"/>
              <w:bottom w:type="dxa" w:w="90"/>
              <w:right w:type="dxa" w:w="120"/>
            </w:tcMar>
          </w:tcPr>
          <w:p>
            <w:r>
              <w:rPr>
                <w:b w:val="false"/>
                <w:bCs w:val="false"/>
                <w:color w:val="23282E"/>
                <w:sz w:val="19"/>
                <w:szCs w:val="19"/>
              </w:rPr>
              <w:t xml:space="preserve">Extracts the taxpayer's own claimed explanation and the amount their letter states, as an unverified draft — the auditor confirms or edits it before it becomes a response the engine acts on.</w:t>
            </w:r>
          </w:p>
        </w:tc>
      </w:tr>
      <w:tr>
        <w:tc>
          <w:tcPr>
            <w:tcW w:type="dxa" w:w="2500"/>
            <w:shd w:fill="EFF3F1" w:val="clear"/>
            <w:tcMar>
              <w:top w:type="dxa" w:w="90"/>
              <w:left w:type="dxa" w:w="120"/>
              <w:bottom w:type="dxa" w:w="90"/>
              <w:right w:type="dxa" w:w="120"/>
            </w:tcMar>
          </w:tcPr>
          <w:p>
            <w:r>
              <w:rPr>
                <w:b w:val="false"/>
                <w:bCs w:val="false"/>
                <w:color w:val="23282E"/>
                <w:sz w:val="19"/>
                <w:szCs w:val="19"/>
              </w:rPr>
              <w:t xml:space="preserve">Draft correspondence</w:t>
            </w:r>
          </w:p>
        </w:tc>
        <w:tc>
          <w:tcPr>
            <w:tcW w:type="dxa" w:w="7000"/>
            <w:shd w:fill="EFF3F1" w:val="clear"/>
            <w:tcMar>
              <w:top w:type="dxa" w:w="90"/>
              <w:left w:type="dxa" w:w="120"/>
              <w:bottom w:type="dxa" w:w="90"/>
              <w:right w:type="dxa" w:w="120"/>
            </w:tcMar>
          </w:tcPr>
          <w:p>
            <w:r>
              <w:rPr>
                <w:b w:val="false"/>
                <w:bCs w:val="false"/>
                <w:color w:val="23282E"/>
                <w:sz w:val="19"/>
                <w:szCs w:val="19"/>
              </w:rPr>
              <w:t xml:space="preserve">Drafts the information request, the follow-up chase, and the outcome/verdict letter. Every numeral in the draft must already appear in the engine's own facts block — the model may repeat a figure it was handed, never introduce one.</w:t>
            </w:r>
          </w:p>
        </w:tc>
      </w:tr>
      <w:tr>
        <w:tc>
          <w:tcPr>
            <w:tcW w:type="dxa" w:w="2500"/>
            <w:tcMar>
              <w:top w:type="dxa" w:w="90"/>
              <w:left w:type="dxa" w:w="120"/>
              <w:bottom w:type="dxa" w:w="90"/>
              <w:right w:type="dxa" w:w="120"/>
            </w:tcMar>
          </w:tcPr>
          <w:p>
            <w:r>
              <w:rPr>
                <w:b w:val="false"/>
                <w:bCs w:val="false"/>
                <w:color w:val="23282E"/>
                <w:sz w:val="19"/>
                <w:szCs w:val="19"/>
              </w:rPr>
              <w:t xml:space="preserve">Interpret a stated calculation</w:t>
            </w:r>
          </w:p>
        </w:tc>
        <w:tc>
          <w:tcPr>
            <w:tcW w:type="dxa" w:w="7000"/>
            <w:tcMar>
              <w:top w:type="dxa" w:w="90"/>
              <w:left w:type="dxa" w:w="120"/>
              <w:bottom w:type="dxa" w:w="90"/>
              <w:right w:type="dxa" w:w="120"/>
            </w:tcMar>
          </w:tcPr>
          <w:p>
            <w:r>
              <w:rPr>
                <w:b w:val="false"/>
                <w:bCs w:val="false"/>
                <w:color w:val="23282E"/>
                <w:sz w:val="19"/>
                <w:szCs w:val="19"/>
              </w:rPr>
              <w:t xml:space="preserve">Reads an auditor's free-text description of their method (“I summed the VAT column, excluding January”) and translates it into a structured query from a closed set of operations. A condition it cannot express is declined outright, never flattened into an approximate answer — declining is the correct behaviour, not a failure.</w:t>
            </w:r>
          </w:p>
        </w:tc>
      </w:tr>
    </w:tbl>
    <w:p>
      <w:pPr>
        <w:pStyle w:val="Heading2"/>
        <w:spacing w:after="100" w:before="260"/>
      </w:pPr>
      <w:r>
        <w:rPr>
          <w:b/>
          <w:bCs/>
          <w:color w:val="0E6B57"/>
          <w:sz w:val="23"/>
          <w:szCs w:val="23"/>
        </w:rPr>
        <w:t xml:space="preserve">Where retrieval (RAG) fits today</w:t>
      </w:r>
    </w:p>
    <w:p>
      <w:pPr>
        <w:spacing w:after="140" w:line="276"/>
      </w:pPr>
      <w:r>
        <w:rPr>
          <w:color w:val="23282E"/>
          <w:sz w:val="21"/>
          <w:szCs w:val="21"/>
        </w:rPr>
        <w:t xml:space="preserve">There is no trained or embedding-based retrieval system in the current build. What exists is deterministic precedent retrieval — a tally over a labelled corpus of closed cases, matched on structured fields such as the risk indicator and sector — and it is dormant under the current scope, kept and tested rather than deleted. This is the intended foundation for the next phase: a governed knowledge base trained on official ZATCA VAT and e-invoicing law, retrieved rather than fine-tuned into a model, as set out in Section 11.</w:t>
      </w:r>
    </w:p>
    <w:p>
      <w:pPr>
        <w:pStyle w:val="Heading1"/>
        <w:pBdr>
          <w:bottom w:val="single" w:color="0E6B57" w:sz="6" w:space="4"/>
        </w:pBdr>
        <w:spacing w:after="160" w:before="420"/>
      </w:pPr>
      <w:r>
        <w:rPr>
          <w:b/>
          <w:bCs/>
          <w:color w:val="1B2A4A"/>
          <w:sz w:val="28"/>
          <w:szCs w:val="28"/>
        </w:rPr>
        <w:t xml:space="preserve">11. Limitations &amp; Future Considerations</w:t>
      </w:r>
    </w:p>
    <w:p>
      <w:pPr>
        <w:pStyle w:val="Heading2"/>
        <w:spacing w:after="100" w:before="260"/>
      </w:pPr>
      <w:r>
        <w:rPr>
          <w:b/>
          <w:bCs/>
          <w:color w:val="0E6B57"/>
          <w:sz w:val="23"/>
          <w:szCs w:val="23"/>
        </w:rPr>
        <w:t xml:space="preserve">The tax-point approximation is the highest-leverage gap</w:t>
      </w:r>
    </w:p>
    <w:p>
      <w:pPr>
        <w:spacing w:after="140" w:line="276"/>
      </w:pPr>
      <w:r>
        <w:rPr>
          <w:color w:val="23282E"/>
          <w:sz w:val="21"/>
          <w:szCs w:val="21"/>
        </w:rPr>
        <w:t xml:space="preserve">The engine's own scope notes name this directly: a true tax-point rule — the earliest of payment, invoice, or contractual due date, with special cases for continuous supply — is the first thing production would need. Four candidate corrections are already drafted and under review, pending verification against the official ZATCA source documents before anything is wired into the live engine:</w:t>
      </w:r>
    </w:p>
    <w:p>
      <w:pPr>
        <w:pStyle w:val="ListParagraph"/>
        <w:numPr>
          <w:ilvl w:val="0"/>
          <w:numId w:val="2"/>
        </w:numPr>
        <w:spacing w:after="80" w:line="268"/>
      </w:pPr>
      <w:r>
        <w:rPr>
          <w:color w:val="23282E"/>
          <w:sz w:val="21"/>
          <w:szCs w:val="21"/>
        </w:rPr>
        <w:t xml:space="preserve">Government-contract timing — correcting the existing government-supply rule from “procurement-platform approval date” to the earlier of the payment-order date or receipt of consideration.</w:t>
      </w:r>
    </w:p>
    <w:p>
      <w:pPr>
        <w:pStyle w:val="ListParagraph"/>
        <w:numPr>
          <w:ilvl w:val="0"/>
          <w:numId w:val="2"/>
        </w:numPr>
        <w:spacing w:after="80" w:line="268"/>
      </w:pPr>
      <w:r>
        <w:rPr>
          <w:color w:val="23282E"/>
          <w:sz w:val="21"/>
          <w:szCs w:val="21"/>
        </w:rPr>
        <w:t xml:space="preserve">Advance-payment timing — a payment received before invoice or delivery accelerates the tax point to the payment date.</w:t>
      </w:r>
    </w:p>
    <w:p>
      <w:pPr>
        <w:pStyle w:val="ListParagraph"/>
        <w:numPr>
          <w:ilvl w:val="0"/>
          <w:numId w:val="2"/>
        </w:numPr>
        <w:spacing w:after="80" w:line="268"/>
      </w:pPr>
      <w:r>
        <w:rPr>
          <w:color w:val="23282E"/>
          <w:sz w:val="21"/>
          <w:szCs w:val="21"/>
        </w:rPr>
        <w:t xml:space="preserve">Continuous/successive-supply timing — the earliest of instalment-due date, payment date, or invoice date, with a tax point at least once every twelve months.</w:t>
      </w:r>
    </w:p>
    <w:p>
      <w:pPr>
        <w:pStyle w:val="ListParagraph"/>
        <w:numPr>
          <w:ilvl w:val="0"/>
          <w:numId w:val="2"/>
        </w:numPr>
        <w:spacing w:after="80" w:line="268"/>
      </w:pPr>
      <w:r>
        <w:rPr>
          <w:color w:val="23282E"/>
          <w:sz w:val="21"/>
          <w:szCs w:val="21"/>
        </w:rPr>
        <w:t xml:space="preserve">Telecom prepaid-voucher timing — voucher issuance is not itself the VAT point; activation or redemption is.</w:t>
      </w:r>
    </w:p>
    <w:p>
      <w:pPr>
        <w:pStyle w:val="Heading2"/>
        <w:spacing w:after="100" w:before="260"/>
      </w:pPr>
      <w:r>
        <w:rPr>
          <w:b/>
          <w:bCs/>
          <w:color w:val="0E6B57"/>
          <w:sz w:val="23"/>
          <w:szCs w:val="23"/>
        </w:rPr>
        <w:t xml:space="preserve">Prior-period corrections: the full version-chain solution, detailed</w:t>
      </w:r>
    </w:p>
    <w:p>
      <w:pPr>
        <w:spacing w:after="140" w:line="276"/>
      </w:pPr>
      <w:r>
        <w:rPr>
          <w:color w:val="23282E"/>
          <w:sz w:val="21"/>
          <w:szCs w:val="21"/>
        </w:rPr>
        <w:t xml:space="preserve">This pass accepts the return's own stated Box-14 figure once the auditor confirms it — deliberately not the complete solution, because the complete solution touches an assumption (one return, one version) that runs throughout the current engine. The full design is already specified, rule by rule, in the VAT Mistakes Rulebook (COR-05 through COR-10) and is a scoped, known project rather than a research question:</w:t>
      </w:r>
    </w:p>
    <w:p>
      <w:pPr>
        <w:pStyle w:val="ListParagraph"/>
        <w:numPr>
          <w:ilvl w:val="0"/>
          <w:numId w:val="2"/>
        </w:numPr>
        <w:spacing w:after="80" w:line="268"/>
      </w:pPr>
      <w:r>
        <w:rPr>
          <w:color w:val="23282E"/>
          <w:sz w:val="21"/>
          <w:szCs w:val="21"/>
        </w:rPr>
        <w:t xml:space="preserve">Select the correct baseline automatically. An amended return can carry several versions. Rather than trusting whichever version happens to be marked current, the engine would pick the version whose declared liability (Box 16) matches the audited figure at the point the case was actually opened — the version that was in effect when the case was raised, not necessarily the taxpayer's latest edit (COR-05).</w:t>
      </w:r>
    </w:p>
    <w:p>
      <w:pPr>
        <w:pStyle w:val="ListParagraph"/>
        <w:numPr>
          <w:ilvl w:val="0"/>
          <w:numId w:val="2"/>
        </w:numPr>
        <w:spacing w:after="80" w:line="268"/>
      </w:pPr>
      <w:r>
        <w:rPr>
          <w:color w:val="23282E"/>
          <w:sz w:val="21"/>
          <w:szCs w:val="21"/>
        </w:rPr>
        <w:t xml:space="preserve">Reconcile against that verified baseline, not the naive “latest version.”</w:t>
      </w:r>
    </w:p>
    <w:p>
      <w:pPr>
        <w:pStyle w:val="ListParagraph"/>
        <w:numPr>
          <w:ilvl w:val="0"/>
          <w:numId w:val="2"/>
        </w:numPr>
        <w:spacing w:after="80" w:line="268"/>
      </w:pPr>
      <w:r>
        <w:rPr>
          <w:color w:val="23282E"/>
          <w:sz w:val="21"/>
          <w:szCs w:val="21"/>
        </w:rPr>
        <w:t xml:space="preserve">Decompose the Box-14 figure per error. The self-correction channel is only lawful up to SAR 5,000 per individual error, so a Box-14 total above that threshold does not by itself prove a breach — it could be several small, legitimate corrections bundled together. Confirming a real breach, rather than merely flagging one for review, needs the per-error breakdown (COR-06).</w:t>
      </w:r>
    </w:p>
    <w:p>
      <w:pPr>
        <w:pStyle w:val="ListParagraph"/>
        <w:numPr>
          <w:ilvl w:val="0"/>
          <w:numId w:val="2"/>
        </w:numPr>
        <w:spacing w:after="80" w:line="268"/>
      </w:pPr>
      <w:r>
        <w:rPr>
          <w:color w:val="23282E"/>
          <w:sz w:val="21"/>
          <w:szCs w:val="21"/>
        </w:rPr>
        <w:t xml:space="preserve">Detect double relief — a credit note and a Box-14 entry both relieving the same original event, the same VAT excused twice (COR-07).</w:t>
      </w:r>
    </w:p>
    <w:p>
      <w:pPr>
        <w:pStyle w:val="ListParagraph"/>
        <w:numPr>
          <w:ilvl w:val="0"/>
          <w:numId w:val="2"/>
        </w:numPr>
        <w:spacing w:after="80" w:line="268"/>
      </w:pPr>
      <w:r>
        <w:rPr>
          <w:color w:val="23282E"/>
          <w:sz w:val="21"/>
          <w:szCs w:val="21"/>
        </w:rPr>
        <w:t xml:space="preserve">Detect an unsupported reversal — an amendment that lowers a previously correct liability, filed after the case was referred, with no evidence behind the reduction; the amendment itself becomes the finding (COR-10).</w:t>
      </w:r>
    </w:p>
    <w:p>
      <w:pPr>
        <w:pStyle w:val="Heading2"/>
        <w:spacing w:after="100" w:before="260"/>
      </w:pPr>
      <w:r>
        <w:rPr>
          <w:b/>
          <w:bCs/>
          <w:color w:val="0E6B57"/>
          <w:sz w:val="23"/>
          <w:szCs w:val="23"/>
        </w:rPr>
        <w:t xml:space="preserve">Two further increments already scoped, on top of what this pass built</w:t>
      </w:r>
    </w:p>
    <w:p>
      <w:pPr>
        <w:pStyle w:val="ListParagraph"/>
        <w:numPr>
          <w:ilvl w:val="0"/>
          <w:numId w:val="2"/>
        </w:numPr>
        <w:spacing w:after="90" w:line="268"/>
      </w:pPr>
      <w:r>
        <w:rPr>
          <w:b/>
          <w:bCs/>
          <w:color w:val="1B2A4A"/>
          <w:sz w:val="21"/>
          <w:szCs w:val="21"/>
        </w:rPr>
        <w:t xml:space="preserve">Automated import/reverse-charge reconstruction. </w:t>
      </w:r>
      <w:r>
        <w:rPr>
          <w:b w:val="false"/>
          <w:bCs w:val="false"/>
          <w:color w:val="23282E"/>
          <w:sz w:val="21"/>
          <w:szCs w:val="21"/>
        </w:rPr>
        <w:t xml:space="preserve">Today both are counted only via auditor-confirmed evidence. The RCM-01…10 rulebook family already specifies the automated version — matching customs and AP feeds against declared Box 8/9 — for when those feeds exist.</w:t>
      </w:r>
    </w:p>
    <w:p>
      <w:pPr>
        <w:pStyle w:val="ListParagraph"/>
        <w:numPr>
          <w:ilvl w:val="0"/>
          <w:numId w:val="2"/>
        </w:numPr>
        <w:spacing w:after="90" w:line="268"/>
      </w:pPr>
      <w:r>
        <w:rPr>
          <w:b/>
          <w:bCs/>
          <w:color w:val="1B2A4A"/>
          <w:sz w:val="21"/>
          <w:szCs w:val="21"/>
        </w:rPr>
        <w:t xml:space="preserve">Zero-rated mis-declaration detection. </w:t>
      </w:r>
      <w:r>
        <w:rPr>
          <w:b w:val="false"/>
          <w:bCs w:val="false"/>
          <w:color w:val="23282E"/>
          <w:sz w:val="21"/>
          <w:szCs w:val="21"/>
        </w:rPr>
        <w:t xml:space="preserve">This pass compares declared against reconstructed zero-rated sales directly. OUT-03 (standard-rated sales mis-declared as zero-rated) and OUT-04 (exports zero-rated without proof of export) are the next layer — already specified in the rulebook, not yet wired.</w:t>
      </w:r>
    </w:p>
    <w:p>
      <w:pPr>
        <w:pStyle w:val="Heading2"/>
        <w:spacing w:after="100" w:before="260"/>
      </w:pPr>
      <w:r>
        <w:rPr>
          <w:b/>
          <w:bCs/>
          <w:color w:val="0E6B57"/>
          <w:sz w:val="23"/>
          <w:szCs w:val="23"/>
        </w:rPr>
        <w:t xml:space="preserve">Everything still out of scope (Section 4)</w:t>
      </w:r>
    </w:p>
    <w:p>
      <w:pPr>
        <w:spacing w:after="140" w:line="276"/>
      </w:pPr>
      <w:r>
        <w:rPr>
          <w:color w:val="23282E"/>
          <w:sz w:val="21"/>
          <w:szCs w:val="21"/>
        </w:rPr>
        <w:t xml:space="preserve">Exempt and outside-scope supplies, VAT groups, cash-accounting taxpayers, full version-chain reconciliation of amended returns, bad-debt relief, partial exemption, summary/B2C invoicing, automated import/reverse-charge reconstruction, buyer-side supplier matching, and rolling reconciliation are all real parts of the audit problem this PoC deliberately does not attempt in full. Each is tagged with the reason code that would carry it, so extending coverage is additive, not a redesign.</w:t>
      </w:r>
    </w:p>
    <w:p>
      <w:pPr>
        <w:pStyle w:val="Heading2"/>
        <w:spacing w:after="100" w:before="260"/>
      </w:pPr>
      <w:r>
        <w:rPr>
          <w:b/>
          <w:bCs/>
          <w:color w:val="0E6B57"/>
          <w:sz w:val="23"/>
          <w:szCs w:val="23"/>
        </w:rPr>
        <w:t xml:space="preserve">Dormant, not deleted</w:t>
      </w:r>
    </w:p>
    <w:p>
      <w:pPr>
        <w:spacing w:after="140" w:line="276"/>
      </w:pPr>
      <w:r>
        <w:rPr>
          <w:color w:val="23282E"/>
          <w:sz w:val="21"/>
          <w:szCs w:val="21"/>
        </w:rPr>
        <w:t xml:space="preserve">Precedent retrieval, risk-indicator ingestion, the request planner, and the Dossier/Casework screens are fully built and tested against the planning-era scope, simply not wired into the current two-job flow. They are cheap to keep and expensive to rebuild, and are the natural next modules to reactivate as scope grows.</w:t>
      </w:r>
    </w:p>
    <w:p>
      <w:pPr>
        <w:pStyle w:val="Heading2"/>
        <w:spacing w:after="100" w:before="260"/>
      </w:pPr>
      <w:r>
        <w:rPr>
          <w:b/>
          <w:bCs/>
          <w:color w:val="0E6B57"/>
          <w:sz w:val="23"/>
          <w:szCs w:val="23"/>
        </w:rPr>
        <w:t xml:space="preserve">The Auditor Knowledge governed library (planned)</w:t>
      </w:r>
    </w:p>
    <w:p>
      <w:pPr>
        <w:spacing w:after="140" w:line="276"/>
      </w:pPr>
      <w:r>
        <w:rPr>
          <w:color w:val="23282E"/>
          <w:sz w:val="21"/>
          <w:szCs w:val="21"/>
        </w:rPr>
        <w:t xml:space="preserve">The next phase pairs two things deliberately: a governed rule library — an auditor submits a candidate rule, a subject-matter expert validates it, and only an approved rule becomes retrievable — with retrieval-augmented generation trained on official ZATCA VAT and e-invoicing law and regulations. The two are built together on purpose: a model retrained on every unreviewed submission risks one auditor's mistake contaminating the whole system, so the library exists specifically to be retrieved from, never trained into a model directly.</w:t>
      </w:r>
    </w:p>
    <w:p>
      <w:pPr>
        <w:pStyle w:val="Heading2"/>
        <w:spacing w:after="100" w:before="260"/>
      </w:pPr>
      <w:r>
        <w:rPr>
          <w:b/>
          <w:bCs/>
          <w:color w:val="0E6B57"/>
          <w:sz w:val="23"/>
          <w:szCs w:val="23"/>
        </w:rPr>
        <w:t xml:space="preserve">Inputs still needed from the auditors</w:t>
      </w:r>
    </w:p>
    <w:p>
      <w:pPr>
        <w:pStyle w:val="ListParagraph"/>
        <w:numPr>
          <w:ilvl w:val="0"/>
          <w:numId w:val="2"/>
        </w:numPr>
        <w:spacing w:after="80" w:line="268"/>
      </w:pPr>
      <w:r>
        <w:rPr>
          <w:color w:val="23282E"/>
          <w:sz w:val="21"/>
          <w:szCs w:val="21"/>
        </w:rPr>
        <w:t xml:space="preserve">A real (redacted) information-request email, so the completeness checker's cue table reflects how auditors actually phrase requests.</w:t>
      </w:r>
    </w:p>
    <w:p>
      <w:pPr>
        <w:pStyle w:val="ListParagraph"/>
        <w:numPr>
          <w:ilvl w:val="0"/>
          <w:numId w:val="2"/>
        </w:numPr>
        <w:spacing w:after="80" w:line="268"/>
      </w:pPr>
      <w:r>
        <w:rPr>
          <w:color w:val="23282E"/>
          <w:sz w:val="21"/>
          <w:szCs w:val="21"/>
        </w:rPr>
        <w:t xml:space="preserve">The regulations articles behind the Regulations agent's deductibility and invoice-validity checks, so its current placeholder blocked-category list becomes a real, citable lookup.</w:t>
      </w:r>
    </w:p>
    <w:p>
      <w:pPr>
        <w:pStyle w:val="ListParagraph"/>
        <w:numPr>
          <w:ilvl w:val="0"/>
          <w:numId w:val="2"/>
        </w:numPr>
        <w:spacing w:after="80" w:line="268"/>
      </w:pPr>
      <w:r>
        <w:rPr>
          <w:color w:val="23282E"/>
          <w:sz w:val="21"/>
          <w:szCs w:val="21"/>
        </w:rPr>
        <w:t xml:space="preserve">The official ZATCA tax-point source documents, to verify the four candidate timing rules above before they are wired into the live engine.</w:t>
      </w:r>
    </w:p>
    <w:p>
      <w:pPr>
        <w:pStyle w:val="ListParagraph"/>
        <w:numPr>
          <w:ilvl w:val="0"/>
          <w:numId w:val="2"/>
        </w:numPr>
        <w:spacing w:after="80" w:line="268"/>
      </w:pPr>
      <w:r>
        <w:rPr>
          <w:color w:val="23282E"/>
          <w:sz w:val="21"/>
          <w:szCs w:val="21"/>
        </w:rPr>
        <w:t xml:space="preserve">A live customs and AP feed (or a redacted sample of one), to move imports and reverse-charge from auditor-confirmed evidence to automated reconstruction against the RCM-01…10 rulebook family.</w:t>
      </w:r>
    </w:p>
    <w:p>
      <w:pPr>
        <w:pStyle w:val="ListParagraph"/>
        <w:numPr>
          <w:ilvl w:val="0"/>
          <w:numId w:val="2"/>
        </w:numPr>
        <w:spacing w:after="80" w:line="268"/>
      </w:pPr>
      <w:r>
        <w:rPr>
          <w:color w:val="23282E"/>
          <w:sz w:val="21"/>
          <w:szCs w:val="21"/>
        </w:rPr>
        <w:t xml:space="preserve">A worked example of a per-error Box-14 decomposition, so the SAR 5,000 self-correction cap check (COR-06) can be built against the format auditors actually receive it in.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2026-08-21T09:46:43.570Z</dcterms:created>
  <dcterms:modified xsi:type="dcterms:W3CDTF">2026-08-21T09:46:43.571Z</dcterms:modified>
</cp:coreProperties>
</file>

<file path=docProps/custom.xml><?xml version="1.0" encoding="utf-8"?>
<Properties xmlns="http://schemas.openxmlformats.org/officeDocument/2006/custom-properties" xmlns:vt="http://schemas.openxmlformats.org/officeDocument/2006/docPropsVTypes"/>
</file>