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195EB4" w:rsidRDefault="003A1FA7" w:rsidP="005E3AF4">
      <w:pPr>
        <w:jc w:val="both"/>
        <w:rPr>
          <w:rFonts w:ascii="Palatino Linotype" w:hAnsi="Palatino Linotype" w:cs="Times New Roman"/>
          <w:lang w:val="ro-RO"/>
        </w:rPr>
      </w:pPr>
      <w:r>
        <w:rPr>
          <w:rFonts w:ascii="Palatino Linotype" w:hAnsi="Palatino Linotype" w:cs="Times New Roman"/>
          <w:lang w:val="ro-RO"/>
        </w:rPr>
        <w:tab/>
      </w:r>
    </w:p>
    <w:p w14:paraId="55379339" w14:textId="77777777" w:rsidR="005E3AF4" w:rsidRPr="00195EB4" w:rsidRDefault="005E3AF4" w:rsidP="005E3AF4">
      <w:pPr>
        <w:jc w:val="both"/>
        <w:rPr>
          <w:rFonts w:ascii="Palatino Linotype" w:hAnsi="Palatino Linotype" w:cs="Times New Roman"/>
          <w:lang w:val="ro-RO"/>
        </w:rPr>
      </w:pPr>
    </w:p>
    <w:p w14:paraId="5017CE05" w14:textId="77777777" w:rsidR="005E3AF4" w:rsidRPr="00195EB4" w:rsidRDefault="005E3AF4" w:rsidP="005E3AF4">
      <w:pPr>
        <w:pStyle w:val="Standard"/>
        <w:jc w:val="both"/>
        <w:rPr>
          <w:rFonts w:ascii="Palatino Linotype" w:hAnsi="Palatino Linotype" w:cs="Times New Roman"/>
          <w:sz w:val="72"/>
          <w:szCs w:val="72"/>
        </w:rPr>
      </w:pPr>
    </w:p>
    <w:p w14:paraId="3C476744" w14:textId="77777777" w:rsidR="005E3AF4" w:rsidRPr="00195EB4" w:rsidRDefault="005E3AF4" w:rsidP="005E3AF4">
      <w:pPr>
        <w:pStyle w:val="Standard"/>
        <w:jc w:val="both"/>
        <w:rPr>
          <w:rFonts w:ascii="Palatino Linotype" w:hAnsi="Palatino Linotype" w:cs="Times New Roman"/>
          <w:sz w:val="72"/>
          <w:szCs w:val="72"/>
        </w:rPr>
      </w:pPr>
    </w:p>
    <w:p w14:paraId="1A516031" w14:textId="77777777" w:rsidR="005E3AF4" w:rsidRPr="00195EB4" w:rsidRDefault="005E3AF4" w:rsidP="005E3AF4">
      <w:pPr>
        <w:pStyle w:val="Standard"/>
        <w:jc w:val="center"/>
        <w:rPr>
          <w:rFonts w:ascii="Palatino Linotype" w:hAnsi="Palatino Linotype" w:cs="Times New Roman"/>
          <w:sz w:val="72"/>
          <w:szCs w:val="72"/>
        </w:rPr>
      </w:pPr>
      <w:r w:rsidRPr="00195EB4">
        <w:rPr>
          <w:rFonts w:ascii="Palatino Linotype" w:hAnsi="Palatino Linotype" w:cs="Times New Roman"/>
          <w:sz w:val="72"/>
          <w:szCs w:val="72"/>
        </w:rPr>
        <w:t>Discriminarea pe bază de gen la angajare</w:t>
      </w:r>
    </w:p>
    <w:p w14:paraId="3EE3EC07" w14:textId="77777777" w:rsidR="005E3AF4" w:rsidRPr="00195EB4" w:rsidRDefault="005E3AF4" w:rsidP="005E3AF4">
      <w:pPr>
        <w:pStyle w:val="Standard"/>
        <w:jc w:val="both"/>
        <w:rPr>
          <w:rFonts w:ascii="Palatino Linotype" w:hAnsi="Palatino Linotype" w:cs="Times New Roman"/>
        </w:rPr>
      </w:pPr>
    </w:p>
    <w:p w14:paraId="48E2932C" w14:textId="77777777" w:rsidR="005E3AF4" w:rsidRPr="00195EB4" w:rsidRDefault="005E3AF4" w:rsidP="005E3AF4">
      <w:pPr>
        <w:pStyle w:val="Standard"/>
        <w:jc w:val="both"/>
        <w:rPr>
          <w:rFonts w:ascii="Palatino Linotype" w:hAnsi="Palatino Linotype" w:cs="Times New Roman"/>
        </w:rPr>
      </w:pPr>
    </w:p>
    <w:p w14:paraId="3734D587" w14:textId="77777777" w:rsidR="005E3AF4" w:rsidRPr="00195EB4" w:rsidRDefault="005E3AF4" w:rsidP="005E3AF4">
      <w:pPr>
        <w:pStyle w:val="Standard"/>
        <w:jc w:val="both"/>
        <w:rPr>
          <w:rFonts w:ascii="Palatino Linotype" w:hAnsi="Palatino Linotype" w:cs="Times New Roman"/>
        </w:rPr>
      </w:pPr>
    </w:p>
    <w:p w14:paraId="00F06E05" w14:textId="77777777" w:rsidR="005E3AF4" w:rsidRPr="00195EB4" w:rsidRDefault="005E3AF4" w:rsidP="005E3AF4">
      <w:pPr>
        <w:pStyle w:val="Standard"/>
        <w:jc w:val="both"/>
        <w:rPr>
          <w:rFonts w:ascii="Palatino Linotype" w:hAnsi="Palatino Linotype" w:cs="Times New Roman"/>
        </w:rPr>
      </w:pPr>
    </w:p>
    <w:p w14:paraId="22B95E5B" w14:textId="77777777" w:rsidR="005E3AF4" w:rsidRPr="00195EB4" w:rsidRDefault="005E3AF4" w:rsidP="005E3AF4">
      <w:pPr>
        <w:pStyle w:val="Standard"/>
        <w:jc w:val="both"/>
        <w:rPr>
          <w:rFonts w:ascii="Palatino Linotype" w:hAnsi="Palatino Linotype" w:cs="Times New Roman"/>
        </w:rPr>
      </w:pPr>
    </w:p>
    <w:p w14:paraId="3C6586CD" w14:textId="77777777" w:rsidR="005E3AF4" w:rsidRPr="00195EB4" w:rsidRDefault="005E3AF4" w:rsidP="005E3AF4">
      <w:pPr>
        <w:pStyle w:val="Standard"/>
        <w:jc w:val="both"/>
        <w:rPr>
          <w:rFonts w:ascii="Palatino Linotype" w:hAnsi="Palatino Linotype" w:cs="Times New Roman"/>
        </w:rPr>
      </w:pPr>
    </w:p>
    <w:p w14:paraId="1DF13F3A" w14:textId="58C0D839" w:rsidR="005E3AF4" w:rsidRPr="00195EB4" w:rsidRDefault="005E3AF4" w:rsidP="005E3AF4">
      <w:pPr>
        <w:pStyle w:val="Standard"/>
        <w:ind w:left="3600" w:firstLine="720"/>
        <w:jc w:val="center"/>
        <w:rPr>
          <w:rFonts w:ascii="Palatino Linotype" w:hAnsi="Palatino Linotype" w:cs="Times New Roman"/>
        </w:rPr>
      </w:pPr>
      <w:r w:rsidRPr="00195EB4">
        <w:rPr>
          <w:rFonts w:ascii="Palatino Linotype" w:hAnsi="Palatino Linotype" w:cs="Times New Roman"/>
        </w:rPr>
        <w:t>S</w:t>
      </w:r>
      <w:r w:rsidR="00160B03" w:rsidRPr="00195EB4">
        <w:rPr>
          <w:rFonts w:ascii="Palatino Linotype" w:hAnsi="Palatino Linotype" w:cs="Times New Roman"/>
        </w:rPr>
        <w:t>tudent</w:t>
      </w:r>
      <w:r w:rsidRPr="00195EB4">
        <w:rPr>
          <w:rFonts w:ascii="Palatino Linotype" w:hAnsi="Palatino Linotype" w:cs="Times New Roman"/>
        </w:rPr>
        <w:t>:</w:t>
      </w:r>
    </w:p>
    <w:p w14:paraId="4B1360A6"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Ceucă Andreea-Ionela</w:t>
      </w:r>
    </w:p>
    <w:p w14:paraId="416F8C35"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ANUL III</w:t>
      </w:r>
    </w:p>
    <w:p w14:paraId="6F62A72A" w14:textId="77777777" w:rsidR="005E3AF4" w:rsidRPr="00195EB4" w:rsidRDefault="005E3AF4" w:rsidP="005E3AF4">
      <w:pPr>
        <w:pStyle w:val="Standard"/>
        <w:jc w:val="both"/>
        <w:rPr>
          <w:rFonts w:ascii="Palatino Linotype" w:hAnsi="Palatino Linotype" w:cs="Times New Roman"/>
        </w:rPr>
      </w:pPr>
      <w:r w:rsidRPr="00195EB4">
        <w:rPr>
          <w:rFonts w:ascii="Palatino Linotype" w:hAnsi="Palatino Linotype" w:cs="Times New Roman"/>
        </w:rPr>
        <w:t xml:space="preserve">Coordonator licență: </w:t>
      </w:r>
    </w:p>
    <w:p w14:paraId="36B3F543" w14:textId="77777777" w:rsidR="005E3AF4" w:rsidRPr="00195EB4" w:rsidRDefault="005E3AF4" w:rsidP="005E3AF4">
      <w:pPr>
        <w:pStyle w:val="Standard"/>
        <w:ind w:firstLine="720"/>
        <w:rPr>
          <w:rFonts w:ascii="Palatino Linotype" w:hAnsi="Palatino Linotype" w:cs="Times New Roman"/>
        </w:rPr>
      </w:pPr>
      <w:r w:rsidRPr="00195EB4">
        <w:rPr>
          <w:rFonts w:ascii="Palatino Linotype" w:hAnsi="Palatino Linotype" w:cs="Times New Roman"/>
        </w:rPr>
        <w:t>Asist. Univ. Dr. Lup Oana</w:t>
      </w:r>
    </w:p>
    <w:p w14:paraId="30D4E0AF" w14:textId="77777777" w:rsidR="005E3AF4" w:rsidRPr="00195EB4" w:rsidRDefault="005E3AF4" w:rsidP="005E3AF4">
      <w:pPr>
        <w:pStyle w:val="Standard"/>
        <w:jc w:val="both"/>
        <w:rPr>
          <w:rFonts w:ascii="Palatino Linotype" w:hAnsi="Palatino Linotype" w:cs="Times New Roman"/>
        </w:rPr>
      </w:pPr>
    </w:p>
    <w:p w14:paraId="71BC6F24" w14:textId="77777777" w:rsidR="005E3AF4" w:rsidRPr="00195EB4" w:rsidRDefault="005E3AF4" w:rsidP="005E3AF4">
      <w:pPr>
        <w:pStyle w:val="Standard"/>
        <w:jc w:val="both"/>
        <w:rPr>
          <w:rFonts w:ascii="Palatino Linotype" w:hAnsi="Palatino Linotype" w:cs="Times New Roman"/>
          <w:sz w:val="72"/>
          <w:szCs w:val="72"/>
        </w:rPr>
      </w:pPr>
    </w:p>
    <w:p w14:paraId="6500A28D" w14:textId="77777777" w:rsidR="005E3AF4" w:rsidRPr="00195EB4" w:rsidRDefault="005E3AF4" w:rsidP="005E3AF4">
      <w:pPr>
        <w:jc w:val="both"/>
        <w:rPr>
          <w:rFonts w:ascii="Palatino Linotype" w:hAnsi="Palatino Linotype" w:cs="Times New Roman"/>
          <w:lang w:val="ro-RO"/>
        </w:rPr>
      </w:pPr>
    </w:p>
    <w:p w14:paraId="6468D968" w14:textId="77777777" w:rsidR="005E3AF4" w:rsidRPr="00195EB4" w:rsidRDefault="005E3AF4" w:rsidP="005E3AF4">
      <w:pPr>
        <w:jc w:val="both"/>
        <w:rPr>
          <w:rFonts w:ascii="Palatino Linotype" w:hAnsi="Palatino Linotype" w:cs="Times New Roman"/>
          <w:lang w:val="ro-RO"/>
        </w:rPr>
      </w:pPr>
    </w:p>
    <w:p w14:paraId="256950FC" w14:textId="77777777" w:rsidR="005E3AF4" w:rsidRPr="00195EB4" w:rsidRDefault="005E3AF4" w:rsidP="005E3AF4">
      <w:pPr>
        <w:jc w:val="both"/>
        <w:rPr>
          <w:rFonts w:ascii="Palatino Linotype" w:hAnsi="Palatino Linotype" w:cs="Times New Roman"/>
          <w:lang w:val="ro-RO"/>
        </w:rPr>
        <w:sectPr w:rsidR="005E3AF4" w:rsidRPr="00195EB4">
          <w:headerReference w:type="default" r:id="rId8"/>
          <w:footerReference w:type="default" r:id="rId9"/>
          <w:pgSz w:w="12240" w:h="15840"/>
          <w:pgMar w:top="1440" w:right="1440" w:bottom="1440" w:left="1440" w:header="708" w:footer="708" w:gutter="0"/>
          <w:cols w:space="708"/>
          <w:docGrid w:linePitch="360"/>
        </w:sectPr>
      </w:pPr>
    </w:p>
    <w:p w14:paraId="5454A418" w14:textId="77777777" w:rsidR="005E3AF4" w:rsidRPr="00195EB4" w:rsidRDefault="005E3AF4" w:rsidP="005E3AF4">
      <w:p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lastRenderedPageBreak/>
        <w:t>CUPRINS</w:t>
      </w:r>
    </w:p>
    <w:p w14:paraId="4E2810AC"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Introducere</w:t>
      </w:r>
    </w:p>
    <w:p w14:paraId="72147C29"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Teorie</w:t>
      </w:r>
    </w:p>
    <w:p w14:paraId="16EC1D65" w14:textId="7117D49E"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Angajarea</w:t>
      </w:r>
    </w:p>
    <w:p w14:paraId="7B305FC3" w14:textId="408F1064"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Discriminarea și stereotipurile</w:t>
      </w:r>
    </w:p>
    <w:p w14:paraId="09D6C543" w14:textId="77777777" w:rsidR="005E3AF4" w:rsidRPr="00195EB4" w:rsidRDefault="005E3AF4"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Cunoașterea implicită</w:t>
      </w:r>
    </w:p>
    <w:p w14:paraId="3059CE01" w14:textId="7933D580" w:rsidR="005E3AF4" w:rsidRPr="00195EB4" w:rsidRDefault="00D068C0"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Definirea termenilor</w:t>
      </w:r>
    </w:p>
    <w:p w14:paraId="549284B0" w14:textId="03715D16" w:rsidR="00160B03" w:rsidRPr="00195EB4" w:rsidRDefault="00160B03"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Tipuri de discriminare </w:t>
      </w:r>
    </w:p>
    <w:p w14:paraId="7C72629E" w14:textId="3AC0375F" w:rsidR="00160B03" w:rsidRPr="00195EB4" w:rsidRDefault="005E3AF4" w:rsidP="00160B03">
      <w:pPr>
        <w:pStyle w:val="ListParagraph"/>
        <w:numPr>
          <w:ilvl w:val="2"/>
          <w:numId w:val="1"/>
        </w:numPr>
        <w:jc w:val="both"/>
        <w:rPr>
          <w:rFonts w:ascii="Palatino Linotype" w:hAnsi="Palatino Linotype" w:cs="Times New Roman"/>
          <w:b/>
          <w:bCs/>
          <w:sz w:val="24"/>
          <w:szCs w:val="24"/>
          <w:lang w:val="ro-RO"/>
        </w:rPr>
        <w:sectPr w:rsidR="00160B03" w:rsidRPr="00195EB4" w:rsidSect="00042A91">
          <w:headerReference w:type="default" r:id="rId10"/>
          <w:footerReference w:type="default" r:id="rId11"/>
          <w:pgSz w:w="12240" w:h="15840"/>
          <w:pgMar w:top="1440" w:right="1440" w:bottom="1440" w:left="1440" w:header="708" w:footer="708" w:gutter="0"/>
          <w:cols w:space="708"/>
          <w:docGrid w:linePitch="360"/>
        </w:sectPr>
      </w:pPr>
      <w:r w:rsidRPr="00195EB4">
        <w:rPr>
          <w:rFonts w:ascii="Palatino Linotype" w:hAnsi="Palatino Linotype" w:cs="Times New Roman"/>
          <w:b/>
          <w:bCs/>
          <w:sz w:val="24"/>
          <w:szCs w:val="24"/>
          <w:lang w:val="ro-RO"/>
        </w:rPr>
        <w:t>Efectul stereotipurilor asupra percepției locurilor de munc</w:t>
      </w:r>
      <w:r w:rsidR="00D068C0" w:rsidRPr="00195EB4">
        <w:rPr>
          <w:rFonts w:ascii="Palatino Linotype" w:hAnsi="Palatino Linotype" w:cs="Times New Roman"/>
          <w:b/>
          <w:bCs/>
          <w:sz w:val="24"/>
          <w:szCs w:val="24"/>
          <w:lang w:val="ro-RO"/>
        </w:rPr>
        <w:t>ă</w:t>
      </w:r>
    </w:p>
    <w:p w14:paraId="3153F086" w14:textId="77777777" w:rsidR="00D068C0" w:rsidRPr="00195EB4"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sectPr w:rsidR="00D068C0" w:rsidRPr="00195EB4" w:rsidSect="00AB1A51">
          <w:headerReference w:type="default" r:id="rId12"/>
          <w:pgSz w:w="12240" w:h="15840"/>
          <w:pgMar w:top="1134" w:right="1134" w:bottom="1134" w:left="1701" w:header="708" w:footer="708" w:gutter="0"/>
          <w:cols w:space="708"/>
          <w:docGrid w:linePitch="360"/>
        </w:sectPr>
      </w:pPr>
      <w:r w:rsidRPr="00195EB4">
        <w:rPr>
          <w:rFonts w:ascii="Palatino Linotype" w:hAnsi="Palatino Linotype" w:cs="Times New Roman"/>
          <w:b/>
          <w:bCs/>
          <w:sz w:val="24"/>
          <w:szCs w:val="24"/>
          <w:lang w:val="ro-RO"/>
        </w:rPr>
        <w:lastRenderedPageBreak/>
        <w:t xml:space="preserve"> </w:t>
      </w:r>
      <w:r w:rsidRPr="00195EB4">
        <w:rPr>
          <w:rFonts w:ascii="Palatino Linotype" w:hAnsi="Palatino Linotype" w:cs="Times New Roman"/>
          <w:b/>
          <w:bCs/>
          <w:sz w:val="32"/>
          <w:szCs w:val="32"/>
          <w:lang w:val="ro-RO"/>
        </w:rPr>
        <w:t>Introducer</w:t>
      </w:r>
      <w:r w:rsidR="00D068C0" w:rsidRPr="00195EB4">
        <w:rPr>
          <w:rFonts w:ascii="Palatino Linotype" w:hAnsi="Palatino Linotype" w:cs="Times New Roman"/>
          <w:b/>
          <w:bCs/>
          <w:sz w:val="32"/>
          <w:szCs w:val="32"/>
          <w:lang w:val="ro-RO"/>
        </w:rPr>
        <w:t>e</w:t>
      </w:r>
    </w:p>
    <w:p w14:paraId="6AD83CA2" w14:textId="77777777" w:rsidR="00D068C0" w:rsidRPr="00B048B5" w:rsidRDefault="005E3AF4" w:rsidP="00B048B5">
      <w:pPr>
        <w:pStyle w:val="ListParagraph"/>
        <w:numPr>
          <w:ilvl w:val="0"/>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32"/>
          <w:szCs w:val="32"/>
          <w:lang w:val="ro-RO"/>
        </w:rPr>
        <w:lastRenderedPageBreak/>
        <w:t>Teorie</w:t>
      </w:r>
    </w:p>
    <w:p w14:paraId="5B20390E" w14:textId="6034F642" w:rsidR="005E3AF4" w:rsidRPr="00B048B5" w:rsidRDefault="00D068C0"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 xml:space="preserve"> </w:t>
      </w:r>
      <w:r w:rsidR="005E3AF4" w:rsidRPr="00B048B5">
        <w:rPr>
          <w:rFonts w:ascii="Palatino Linotype" w:hAnsi="Palatino Linotype" w:cs="Times New Roman"/>
          <w:b/>
          <w:bCs/>
          <w:sz w:val="28"/>
          <w:szCs w:val="28"/>
          <w:lang w:val="ro-RO"/>
        </w:rPr>
        <w:t>Angajarea</w:t>
      </w:r>
    </w:p>
    <w:p w14:paraId="7E39A620"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fie. (Petersen et al. 2000). </w:t>
      </w:r>
    </w:p>
    <w:p w14:paraId="6A77549D" w14:textId="020D071A" w:rsidR="00D068C0" w:rsidRPr="00B048B5" w:rsidRDefault="005E3AF4"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Stereotipurile</w:t>
      </w:r>
    </w:p>
    <w:p w14:paraId="0DB3E61B" w14:textId="131D69FA"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Cunoașterea implicită</w:t>
      </w:r>
    </w:p>
    <w:p w14:paraId="0DD5F396" w14:textId="3319BEC3" w:rsidR="005E3AF4" w:rsidRPr="00B048B5" w:rsidRDefault="005E3A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Pr>
          <w:rFonts w:ascii="Palatino Linotype" w:hAnsi="Palatino Linotype" w:cs="Times New Roman"/>
          <w:sz w:val="24"/>
          <w:szCs w:val="24"/>
          <w:lang w:val="ro-RO"/>
        </w:rPr>
        <w:t>în</w:t>
      </w:r>
      <w:r w:rsidRPr="00B048B5">
        <w:rPr>
          <w:rFonts w:ascii="Palatino Linotype" w:hAnsi="Palatino Linotype" w:cs="Times New Roman"/>
          <w:sz w:val="24"/>
          <w:szCs w:val="24"/>
          <w:lang w:val="ro-RO"/>
        </w:rPr>
        <w:t xml:space="preserve"> consistență două elemente: atitudinile implicite, respectiv stereotipurile implicite. </w:t>
      </w:r>
    </w:p>
    <w:p w14:paraId="498F651C" w14:textId="6EB2B7D3" w:rsidR="005E3AF4" w:rsidRPr="00B048B5" w:rsidRDefault="005E3AF4" w:rsidP="00B048B5">
      <w:pPr>
        <w:spacing w:after="0" w:line="360" w:lineRule="auto"/>
        <w:ind w:firstLine="720"/>
        <w:jc w:val="both"/>
        <w:rPr>
          <w:rFonts w:ascii="Palatino Linotype" w:hAnsi="Palatino Linotype" w:cs="Times New Roman"/>
          <w:b/>
          <w:bCs/>
          <w:sz w:val="32"/>
          <w:szCs w:val="32"/>
          <w:lang w:val="ro-RO"/>
        </w:rPr>
      </w:pPr>
      <w:r w:rsidRPr="00B048B5">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Pr>
          <w:rFonts w:ascii="Palatino Linotype" w:hAnsi="Palatino Linotype" w:cs="Times New Roman"/>
          <w:sz w:val="24"/>
          <w:szCs w:val="24"/>
          <w:lang w:val="ro-RO"/>
        </w:rPr>
        <w:t xml:space="preserve"> (</w:t>
      </w:r>
      <w:r w:rsidR="00B048B5" w:rsidRPr="00B048B5">
        <w:rPr>
          <w:rFonts w:ascii="Palatino Linotype" w:hAnsi="Palatino Linotype" w:cs="Times New Roman"/>
          <w:sz w:val="24"/>
          <w:szCs w:val="24"/>
          <w:lang w:val="ro-RO"/>
        </w:rPr>
        <w:t>Greenwald și Banaji 1995)</w:t>
      </w:r>
      <w:r w:rsidR="00B048B5">
        <w:rPr>
          <w:rFonts w:ascii="Palatino Linotype" w:hAnsi="Palatino Linotype" w:cs="Times New Roman"/>
          <w:sz w:val="24"/>
          <w:szCs w:val="24"/>
          <w:lang w:val="ro-RO"/>
        </w:rPr>
        <w:t>.</w:t>
      </w:r>
    </w:p>
    <w:p w14:paraId="1D26D211" w14:textId="254DC629" w:rsidR="005E3AF4" w:rsidRPr="00B048B5" w:rsidRDefault="00D068C0"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Definirea  termenilor</w:t>
      </w:r>
    </w:p>
    <w:p w14:paraId="7555A96B" w14:textId="6DD04D89"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lastRenderedPageBreak/>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B048B5">
        <w:rPr>
          <w:rStyle w:val="highlight"/>
          <w:rFonts w:ascii="Palatino Linotype" w:hAnsi="Palatino Linotype" w:cs="Times New Roman"/>
          <w:sz w:val="24"/>
          <w:szCs w:val="24"/>
          <w:lang w:val="ro-RO"/>
        </w:rPr>
        <w:t>Purkiss et al. 2006)</w:t>
      </w:r>
      <w:r w:rsidRPr="00B048B5">
        <w:rPr>
          <w:rFonts w:ascii="Palatino Linotype" w:hAnsi="Palatino Linotype" w:cs="Times New Roman"/>
          <w:sz w:val="24"/>
          <w:szCs w:val="24"/>
          <w:lang w:val="ro-RO"/>
        </w:rPr>
        <w:t xml:space="preserve">. </w:t>
      </w:r>
    </w:p>
    <w:p w14:paraId="76B7DAD9" w14:textId="77777777" w:rsidR="00556AB7" w:rsidRDefault="005E3AF4" w:rsidP="00556AB7">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Heilman (199</w:t>
      </w:r>
      <w:r w:rsidR="00EF690A">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r w:rsidR="00EF690A">
        <w:rPr>
          <w:rFonts w:ascii="Palatino Linotype" w:hAnsi="Palatino Linotype" w:cs="Times New Roman"/>
          <w:sz w:val="24"/>
          <w:szCs w:val="24"/>
          <w:lang w:val="ro-RO"/>
        </w:rPr>
        <w:t>definește</w:t>
      </w:r>
      <w:r w:rsidRPr="00B048B5">
        <w:rPr>
          <w:rFonts w:ascii="Palatino Linotype" w:hAnsi="Palatino Linotype" w:cs="Times New Roman"/>
          <w:sz w:val="24"/>
          <w:szCs w:val="24"/>
          <w:lang w:val="ro-RO"/>
        </w:rPr>
        <w:t xml:space="preserve"> stereotiparea </w:t>
      </w:r>
      <w:r w:rsidR="00EF690A">
        <w:rPr>
          <w:rFonts w:ascii="Palatino Linotype" w:hAnsi="Palatino Linotype" w:cs="Times New Roman"/>
          <w:sz w:val="24"/>
          <w:szCs w:val="24"/>
          <w:lang w:val="ro-RO"/>
        </w:rPr>
        <w:t>ca</w:t>
      </w:r>
      <w:r w:rsidRPr="00B048B5">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w:t>
      </w:r>
      <w:r w:rsidR="00556AB7">
        <w:rPr>
          <w:rFonts w:ascii="Palatino Linotype" w:hAnsi="Palatino Linotype" w:cs="Times New Roman"/>
          <w:sz w:val="24"/>
          <w:szCs w:val="24"/>
          <w:lang w:val="ro-RO"/>
        </w:rPr>
        <w:t>.</w:t>
      </w:r>
    </w:p>
    <w:p w14:paraId="2866214A" w14:textId="7C6176BA" w:rsidR="005E3AF4" w:rsidRPr="00556AB7" w:rsidRDefault="00556AB7" w:rsidP="00556AB7">
      <w:pPr>
        <w:spacing w:after="0" w:line="360" w:lineRule="auto"/>
        <w:ind w:firstLine="360"/>
        <w:jc w:val="both"/>
        <w:rPr>
          <w:rFonts w:ascii="Palatino Linotype" w:hAnsi="Palatino Linotype" w:cs="Times New Roman"/>
          <w:sz w:val="24"/>
          <w:szCs w:val="24"/>
          <w:lang w:val="ro-RO"/>
        </w:rPr>
      </w:pPr>
      <w:r w:rsidRPr="00556AB7">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ab/>
      </w:r>
      <w:r w:rsidRPr="00B048B5">
        <w:rPr>
          <w:rFonts w:ascii="Palatino Linotype" w:hAnsi="Palatino Linotype" w:cs="Times New Roman"/>
          <w:sz w:val="24"/>
          <w:szCs w:val="24"/>
          <w:lang w:val="ro-RO"/>
        </w:rPr>
        <w:t>Altfel spus, stereotipurile de gen sunt răspândite global, iar atunci când se dorește să se portretizeze bărbatul sau femeia tipic(ă), majoritatea oamenilor vor avea răspunsuri asemănătoare sau chiar identice (Heilman 199</w:t>
      </w:r>
      <w:r>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p>
    <w:p w14:paraId="72516681" w14:textId="7772CDDB" w:rsidR="005E3AF4" w:rsidRPr="00B048B5" w:rsidRDefault="005E3AF4" w:rsidP="00556AB7">
      <w:pPr>
        <w:pStyle w:val="ListParagraph"/>
        <w:spacing w:after="0" w:line="360" w:lineRule="auto"/>
        <w:ind w:left="360" w:firstLine="360"/>
        <w:jc w:val="both"/>
        <w:rPr>
          <w:rFonts w:ascii="Palatino Linotype" w:hAnsi="Palatino Linotype" w:cs="Times New Roman"/>
          <w:i/>
          <w:iCs/>
          <w:sz w:val="24"/>
          <w:szCs w:val="24"/>
          <w:lang w:val="ro-RO"/>
        </w:rPr>
      </w:pPr>
      <w:r w:rsidRPr="00B048B5">
        <w:rPr>
          <w:rFonts w:ascii="Palatino Linotype" w:hAnsi="Palatino Linotype" w:cs="Times New Roman"/>
          <w:sz w:val="24"/>
          <w:szCs w:val="24"/>
          <w:lang w:val="ro-RO"/>
        </w:rPr>
        <w:t>Stereotipurile, totodată, distorsionează realitatea și înțelegerea realității, ducând la conflicte intergrupale</w:t>
      </w:r>
      <w:r w:rsidR="00D068C0" w:rsidRPr="00B048B5">
        <w:rPr>
          <w:rFonts w:ascii="Palatino Linotype" w:hAnsi="Palatino Linotype" w:cs="Times New Roman"/>
          <w:sz w:val="24"/>
          <w:szCs w:val="24"/>
          <w:lang w:val="ro-RO"/>
        </w:rPr>
        <w:t xml:space="preserve"> și la discriminare</w:t>
      </w:r>
      <w:r w:rsidRPr="00B048B5">
        <w:rPr>
          <w:rFonts w:ascii="Palatino Linotype" w:hAnsi="Palatino Linotype" w:cs="Times New Roman"/>
          <w:sz w:val="24"/>
          <w:szCs w:val="24"/>
          <w:lang w:val="ro-RO"/>
        </w:rPr>
        <w:t xml:space="preserve"> (Rusu, 2020)</w:t>
      </w:r>
      <w:r w:rsidRPr="00B048B5">
        <w:rPr>
          <w:rFonts w:ascii="Palatino Linotype" w:hAnsi="Palatino Linotype" w:cs="Times New Roman"/>
          <w:i/>
          <w:iCs/>
          <w:sz w:val="24"/>
          <w:szCs w:val="24"/>
          <w:lang w:val="ro-RO"/>
        </w:rPr>
        <w:t>.</w:t>
      </w:r>
    </w:p>
    <w:p w14:paraId="5B2CF84F" w14:textId="77777777" w:rsidR="000214F0" w:rsidRPr="00B048B5" w:rsidRDefault="00D068C0" w:rsidP="00556AB7">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0" w:name="_Hlk116642830"/>
      <w:r w:rsidRPr="00B048B5">
        <w:rPr>
          <w:rFonts w:ascii="Palatino Linotype" w:hAnsi="Palatino Linotype" w:cs="Times New Roman"/>
          <w:sz w:val="24"/>
          <w:szCs w:val="24"/>
          <w:lang w:val="ro-RO"/>
        </w:rPr>
        <w:t>Curelaru și Nastas 2002</w:t>
      </w:r>
      <w:bookmarkEnd w:id="0"/>
      <w:r w:rsidRPr="00B048B5">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BB3D4D2" w14:textId="77777777" w:rsidR="00160B03" w:rsidRPr="00B048B5" w:rsidRDefault="000214F0"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B048B5">
        <w:rPr>
          <w:rFonts w:ascii="Palatino Linotype" w:hAnsi="Palatino Linotype" w:cs="Times New Roman"/>
          <w:sz w:val="24"/>
          <w:szCs w:val="24"/>
          <w:lang w:val="ro-RO"/>
        </w:rPr>
        <w:t>.</w:t>
      </w:r>
    </w:p>
    <w:p w14:paraId="5CE04924"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documentul publicat de către </w:t>
      </w:r>
      <w:r w:rsidRPr="00B048B5">
        <w:rPr>
          <w:rFonts w:ascii="Palatino Linotype" w:hAnsi="Palatino Linotype" w:cs="Times New Roman"/>
          <w:i/>
          <w:iCs/>
          <w:sz w:val="24"/>
          <w:szCs w:val="24"/>
          <w:lang w:val="ro-RO"/>
        </w:rPr>
        <w:t xml:space="preserve">Office of the High Commissioner for Human Rights </w:t>
      </w:r>
      <w:r w:rsidRPr="00B048B5">
        <w:rPr>
          <w:rFonts w:ascii="Palatino Linotype" w:hAnsi="Palatino Linotype" w:cs="Times New Roman"/>
          <w:sz w:val="24"/>
          <w:szCs w:val="24"/>
          <w:lang w:val="ro-RO"/>
        </w:rPr>
        <w:t xml:space="preserve">(OHCHR) în 2014 se cristalizează o definiție a stereotipurilor de rol, acestea fiind </w:t>
      </w:r>
      <w:r w:rsidRPr="00B048B5">
        <w:rPr>
          <w:rFonts w:ascii="Palatino Linotype" w:hAnsi="Palatino Linotype" w:cs="Times New Roman"/>
          <w:sz w:val="24"/>
          <w:szCs w:val="24"/>
          <w:lang w:val="ro-RO"/>
        </w:rPr>
        <w:lastRenderedPageBreak/>
        <w:t xml:space="preserve">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2362E33D"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62435FB0" w14:textId="52FDEEB5" w:rsidR="00160B03" w:rsidRPr="00B048B5" w:rsidRDefault="00160B03"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Tipuri de discriminare</w:t>
      </w:r>
    </w:p>
    <w:p w14:paraId="612AD02E" w14:textId="5C222CA8" w:rsidR="0020583F" w:rsidRDefault="0020583F"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B048B5">
        <w:rPr>
          <w:rFonts w:ascii="Palatino Linotype" w:hAnsi="Palatino Linotype" w:cs="Times New Roman"/>
          <w:sz w:val="24"/>
          <w:szCs w:val="24"/>
          <w:lang w:val="ro-RO"/>
        </w:rPr>
        <w:t>, unele dintre ele fiind recunoscute</w:t>
      </w:r>
      <w:r w:rsidR="00195EB4" w:rsidRPr="00B048B5">
        <w:rPr>
          <w:rFonts w:ascii="Palatino Linotype" w:hAnsi="Palatino Linotype" w:cs="Times New Roman"/>
          <w:sz w:val="24"/>
          <w:szCs w:val="24"/>
          <w:lang w:val="ro-RO"/>
        </w:rPr>
        <w:t xml:space="preserve">, menționate în Codul Muncii </w:t>
      </w:r>
      <w:r w:rsidR="008F1C64" w:rsidRPr="00B048B5">
        <w:rPr>
          <w:rFonts w:ascii="Palatino Linotype" w:hAnsi="Palatino Linotype" w:cs="Times New Roman"/>
          <w:sz w:val="24"/>
          <w:szCs w:val="24"/>
          <w:lang w:val="ro-RO"/>
        </w:rPr>
        <w:t xml:space="preserve">și pedepsite </w:t>
      </w:r>
      <w:r w:rsidR="00673CF4" w:rsidRPr="00B048B5">
        <w:rPr>
          <w:rFonts w:ascii="Palatino Linotype" w:hAnsi="Palatino Linotype" w:cs="Times New Roman"/>
          <w:sz w:val="24"/>
          <w:szCs w:val="24"/>
          <w:lang w:val="ro-RO"/>
        </w:rPr>
        <w:t>prin lege</w:t>
      </w:r>
      <w:r w:rsidR="008F1C64" w:rsidRPr="00B048B5">
        <w:rPr>
          <w:rFonts w:ascii="Palatino Linotype" w:hAnsi="Palatino Linotype" w:cs="Times New Roman"/>
          <w:sz w:val="24"/>
          <w:szCs w:val="24"/>
          <w:lang w:val="ro-RO"/>
        </w:rPr>
        <w:t xml:space="preserve">. </w:t>
      </w:r>
      <w:r w:rsidR="00B749FD">
        <w:rPr>
          <w:rFonts w:ascii="Palatino Linotype" w:hAnsi="Palatino Linotype" w:cs="Times New Roman"/>
          <w:sz w:val="24"/>
          <w:szCs w:val="24"/>
          <w:lang w:val="ro-RO"/>
        </w:rPr>
        <w:t xml:space="preserve">Office of Federal Contract Compliance Programs (OFCCP) oferă exemple de discriminare ilegală în muncă: </w:t>
      </w:r>
    </w:p>
    <w:p w14:paraId="2618124F" w14:textId="7DD8C1A2"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„promovarea doar anumitor angajați pe baza rasei sau sexului lor;</w:t>
      </w:r>
    </w:p>
    <w:p w14:paraId="068BB143" w14:textId="3B5E8A46"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B048B5" w:rsidRDefault="008F1C6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Cele trei tipuri de discriminare recunoscute de Codul Muncii sunt:</w:t>
      </w:r>
      <w:r w:rsidR="003F4E3B" w:rsidRPr="00B048B5">
        <w:rPr>
          <w:rFonts w:ascii="Palatino Linotype" w:hAnsi="Palatino Linotype" w:cs="Times New Roman"/>
          <w:sz w:val="24"/>
          <w:szCs w:val="24"/>
          <w:lang w:val="ro-RO"/>
        </w:rPr>
        <w:t xml:space="preserve"> d</w:t>
      </w:r>
      <w:r w:rsidRPr="00B048B5">
        <w:rPr>
          <w:rFonts w:ascii="Palatino Linotype" w:hAnsi="Palatino Linotype" w:cs="Times New Roman"/>
          <w:sz w:val="24"/>
          <w:szCs w:val="24"/>
          <w:lang w:val="ro-RO"/>
        </w:rPr>
        <w:t>iscriminarea directă</w:t>
      </w:r>
      <w:r w:rsidR="003F4E3B" w:rsidRPr="00B048B5">
        <w:rPr>
          <w:rFonts w:ascii="Palatino Linotype" w:hAnsi="Palatino Linotype" w:cs="Times New Roman"/>
          <w:sz w:val="24"/>
          <w:szCs w:val="24"/>
          <w:lang w:val="ro-RO"/>
        </w:rPr>
        <w:t xml:space="preserve">, </w:t>
      </w:r>
      <w:r w:rsidRPr="00B048B5">
        <w:rPr>
          <w:rFonts w:ascii="Palatino Linotype" w:hAnsi="Palatino Linotype" w:cs="Times New Roman"/>
          <w:sz w:val="24"/>
          <w:szCs w:val="24"/>
          <w:lang w:val="ro-RO"/>
        </w:rPr>
        <w:t xml:space="preserve">indirectă </w:t>
      </w:r>
      <w:r w:rsidR="003F4E3B" w:rsidRPr="00B048B5">
        <w:rPr>
          <w:rFonts w:ascii="Palatino Linotype" w:hAnsi="Palatino Linotype" w:cs="Times New Roman"/>
          <w:sz w:val="24"/>
          <w:szCs w:val="24"/>
          <w:lang w:val="ro-RO"/>
        </w:rPr>
        <w:t>și d</w:t>
      </w:r>
      <w:r w:rsidRPr="00B048B5">
        <w:rPr>
          <w:rFonts w:ascii="Palatino Linotype" w:hAnsi="Palatino Linotype" w:cs="Times New Roman"/>
          <w:sz w:val="24"/>
          <w:szCs w:val="24"/>
          <w:lang w:val="ro-RO"/>
        </w:rPr>
        <w:t>iscriminare prin asociere</w:t>
      </w:r>
      <w:r w:rsidR="003F4E3B" w:rsidRPr="00B048B5">
        <w:rPr>
          <w:rFonts w:ascii="Palatino Linotype" w:hAnsi="Palatino Linotype" w:cs="Times New Roman"/>
          <w:sz w:val="24"/>
          <w:szCs w:val="24"/>
          <w:lang w:val="ro-RO"/>
        </w:rPr>
        <w:t xml:space="preserve">. </w:t>
      </w:r>
    </w:p>
    <w:p w14:paraId="7B09AA56" w14:textId="7E1D0B4F" w:rsidR="008F1C64" w:rsidRPr="00B048B5" w:rsidRDefault="003F4E3B"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B048B5">
        <w:rPr>
          <w:rFonts w:ascii="Palatino Linotype" w:hAnsi="Palatino Linotype" w:cs="Times New Roman"/>
          <w:sz w:val="24"/>
          <w:szCs w:val="24"/>
          <w:lang w:val="ro-RO"/>
        </w:rPr>
        <w:t xml:space="preserve">având ca temei criteriile prevăzute de art. 5 alin. (2) din Codul Muncii, </w:t>
      </w:r>
      <w:r w:rsidRPr="00B048B5">
        <w:rPr>
          <w:rFonts w:ascii="Palatino Linotype" w:hAnsi="Palatino Linotype" w:cs="Times New Roman"/>
          <w:sz w:val="24"/>
          <w:szCs w:val="24"/>
          <w:lang w:val="ro-RO"/>
        </w:rPr>
        <w:t xml:space="preserve">care are ca scop </w:t>
      </w:r>
      <w:r w:rsidR="00CC47F2" w:rsidRPr="00B048B5">
        <w:rPr>
          <w:rFonts w:ascii="Palatino Linotype" w:hAnsi="Palatino Linotype" w:cs="Times New Roman"/>
          <w:sz w:val="24"/>
          <w:szCs w:val="24"/>
          <w:lang w:val="ro-RO"/>
        </w:rPr>
        <w:t>sau efect încălcarea drepturilor angajatului prevăzute în legislația muncii</w:t>
      </w:r>
      <w:r w:rsidR="008A0DE2" w:rsidRPr="00B048B5">
        <w:rPr>
          <w:rFonts w:ascii="Palatino Linotype" w:hAnsi="Palatino Linotype" w:cs="Times New Roman"/>
          <w:sz w:val="24"/>
          <w:szCs w:val="24"/>
          <w:lang w:val="ro-RO"/>
        </w:rPr>
        <w:t xml:space="preserve">. Încălcarea </w:t>
      </w:r>
      <w:r w:rsidR="008A0DE2" w:rsidRPr="00B048B5">
        <w:rPr>
          <w:rFonts w:ascii="Palatino Linotype" w:hAnsi="Palatino Linotype" w:cs="Times New Roman"/>
          <w:sz w:val="24"/>
          <w:szCs w:val="24"/>
          <w:lang w:val="ro-RO"/>
        </w:rPr>
        <w:lastRenderedPageBreak/>
        <w:t>drepturilor o constituie neacordarea, restrângerea ori înlăturarea folosinței, a recunoașterii și/sau a exercitării acestora</w:t>
      </w:r>
      <w:r w:rsidR="001E1B32" w:rsidRPr="00B048B5">
        <w:rPr>
          <w:rFonts w:ascii="Palatino Linotype" w:hAnsi="Palatino Linotype" w:cs="Times New Roman"/>
          <w:sz w:val="24"/>
          <w:szCs w:val="24"/>
          <w:lang w:val="ro-RO"/>
        </w:rPr>
        <w:t xml:space="preserve"> (Codul Muncii)</w:t>
      </w:r>
      <w:r w:rsidR="008A0DE2" w:rsidRPr="00B048B5">
        <w:rPr>
          <w:rFonts w:ascii="Palatino Linotype" w:hAnsi="Palatino Linotype" w:cs="Times New Roman"/>
          <w:sz w:val="24"/>
          <w:szCs w:val="24"/>
          <w:lang w:val="ro-RO"/>
        </w:rPr>
        <w:t xml:space="preserve">. </w:t>
      </w:r>
    </w:p>
    <w:p w14:paraId="5C9438D9" w14:textId="197A9F0F" w:rsidR="001E1B32" w:rsidRPr="00B048B5" w:rsidRDefault="001E1B32"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indirectă </w:t>
      </w:r>
      <w:r w:rsidR="00673CF4" w:rsidRPr="00B048B5">
        <w:rPr>
          <w:rFonts w:ascii="Palatino Linotype" w:hAnsi="Palatino Linotype" w:cs="Times New Roman"/>
          <w:sz w:val="24"/>
          <w:szCs w:val="24"/>
          <w:lang w:val="ro-RO"/>
        </w:rPr>
        <w:t xml:space="preserve">reprezintă orice acțiune, alegere, prevedere etc., care, deși pare neutră, are ca repercusiune dezavantajarea unei persoane față de alta pe unul dintre criteriile prevăzute de art. 5 alin. (2) (Codul Muncii). </w:t>
      </w:r>
    </w:p>
    <w:p w14:paraId="1034C66A" w14:textId="755A0AF2" w:rsidR="00673CF4" w:rsidRDefault="00673CF4"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1A62ED2A" w14:textId="0DF42EA2" w:rsidR="00556AB7" w:rsidRPr="00556AB7" w:rsidRDefault="00556AB7" w:rsidP="006612F9">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De reținut</w:t>
      </w:r>
      <w:r w:rsidR="006612F9">
        <w:rPr>
          <w:rFonts w:ascii="Palatino Linotype" w:hAnsi="Palatino Linotype" w:cs="Times New Roman"/>
          <w:sz w:val="24"/>
          <w:szCs w:val="24"/>
          <w:lang w:val="ro-RO"/>
        </w:rPr>
        <w:t>,</w:t>
      </w:r>
      <w:r>
        <w:rPr>
          <w:rFonts w:ascii="Palatino Linotype" w:hAnsi="Palatino Linotype" w:cs="Times New Roman"/>
          <w:sz w:val="24"/>
          <w:szCs w:val="24"/>
          <w:lang w:val="ro-RO"/>
        </w:rPr>
        <w:t xml:space="preserve"> însă</w:t>
      </w:r>
      <w:r w:rsidR="006612F9">
        <w:rPr>
          <w:rFonts w:ascii="Palatino Linotype" w:hAnsi="Palatino Linotype" w:cs="Times New Roman"/>
          <w:sz w:val="24"/>
          <w:szCs w:val="24"/>
          <w:lang w:val="ro-RO"/>
        </w:rPr>
        <w:t>,</w:t>
      </w:r>
      <w:r>
        <w:rPr>
          <w:rFonts w:ascii="Palatino Linotype" w:hAnsi="Palatino Linotype" w:cs="Times New Roman"/>
          <w:sz w:val="24"/>
          <w:szCs w:val="24"/>
          <w:lang w:val="ro-RO"/>
        </w:rPr>
        <w:t xml:space="preserve"> că nu se consideră discriminare „</w:t>
      </w:r>
      <w:r w:rsidRPr="00556AB7">
        <w:rPr>
          <w:rFonts w:ascii="Palatino Linotype" w:hAnsi="Palatino Linotype" w:cs="Times New Roman"/>
          <w:sz w:val="24"/>
          <w:szCs w:val="24"/>
          <w:lang w:val="ro-RO"/>
        </w:rPr>
        <w:t>excluderea, deosebirea, restric</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 sau preferin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a în privin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a unui anumit loc de muncă în cazul în care, prin natura specifică a activită</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ii în cauză sau a condi</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iilor în care activitatea respectivă este realizată, există anumite cerin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e profesionale esen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iale și determinate cu condi</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 ca scopul să fie legitim și cerin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ele propor</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ionale”</w:t>
      </w:r>
      <w:r>
        <w:rPr>
          <w:rFonts w:ascii="Palatino Linotype" w:hAnsi="Palatino Linotype" w:cs="Times New Roman"/>
          <w:sz w:val="24"/>
          <w:szCs w:val="24"/>
          <w:lang w:val="ro-RO"/>
        </w:rPr>
        <w:t xml:space="preserve">(Codul Muncii </w:t>
      </w:r>
      <w:r w:rsidR="006612F9" w:rsidRPr="006612F9">
        <w:rPr>
          <w:rFonts w:ascii="Palatino Linotype" w:hAnsi="Palatino Linotype" w:cs="Times New Roman"/>
          <w:i/>
          <w:iCs/>
          <w:sz w:val="24"/>
          <w:szCs w:val="24"/>
          <w:lang w:val="ro-RO"/>
        </w:rPr>
        <w:t>apud</w:t>
      </w:r>
      <w:r w:rsidR="006612F9">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Țiclea 2021).</w:t>
      </w:r>
    </w:p>
    <w:p w14:paraId="58EFFBAC" w14:textId="6A462031" w:rsidR="000D202D" w:rsidRPr="00B048B5" w:rsidRDefault="000D202D"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 site-ul </w:t>
      </w:r>
      <w:r w:rsidRPr="00B048B5">
        <w:rPr>
          <w:rFonts w:ascii="Palatino Linotype" w:hAnsi="Palatino Linotype" w:cs="Times New Roman"/>
          <w:i/>
          <w:iCs/>
          <w:sz w:val="24"/>
          <w:szCs w:val="24"/>
          <w:lang w:val="ro-RO"/>
        </w:rPr>
        <w:t xml:space="preserve">Vermont Commission on Women </w:t>
      </w:r>
      <w:r w:rsidRPr="00B048B5">
        <w:rPr>
          <w:rFonts w:ascii="Palatino Linotype" w:hAnsi="Palatino Linotype" w:cs="Times New Roman"/>
          <w:sz w:val="24"/>
          <w:szCs w:val="24"/>
          <w:lang w:val="ro-RO"/>
        </w:rPr>
        <w:t>(VCW), autorii precizează că legea recunoaște discriminarea intenționată</w:t>
      </w:r>
      <w:r w:rsidR="0052463E" w:rsidRPr="00B048B5">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Pr="00B048B5" w:rsidRDefault="00673C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Van Laer și Janssens (2011) </w:t>
      </w:r>
      <w:r w:rsidR="00195EB4" w:rsidRPr="00B048B5">
        <w:rPr>
          <w:rFonts w:ascii="Palatino Linotype" w:hAnsi="Palatino Linotype" w:cs="Times New Roman"/>
          <w:sz w:val="24"/>
          <w:szCs w:val="24"/>
          <w:lang w:val="ro-RO"/>
        </w:rPr>
        <w:t>descriu alte două tipuri de discrimina</w:t>
      </w:r>
      <w:r w:rsidR="006666BC" w:rsidRPr="00B048B5">
        <w:rPr>
          <w:rFonts w:ascii="Palatino Linotype" w:hAnsi="Palatino Linotype" w:cs="Times New Roman"/>
          <w:sz w:val="24"/>
          <w:szCs w:val="24"/>
          <w:lang w:val="ro-RO"/>
        </w:rPr>
        <w:t>r</w:t>
      </w:r>
      <w:r w:rsidR="00195EB4" w:rsidRPr="00B048B5">
        <w:rPr>
          <w:rFonts w:ascii="Palatino Linotype" w:hAnsi="Palatino Linotype" w:cs="Times New Roman"/>
          <w:sz w:val="24"/>
          <w:szCs w:val="24"/>
          <w:lang w:val="ro-RO"/>
        </w:rPr>
        <w:t>e,</w:t>
      </w:r>
      <w:r w:rsidR="006666BC" w:rsidRPr="00B048B5">
        <w:rPr>
          <w:rFonts w:ascii="Palatino Linotype" w:hAnsi="Palatino Linotype" w:cs="Times New Roman"/>
          <w:sz w:val="24"/>
          <w:szCs w:val="24"/>
          <w:lang w:val="ro-RO"/>
        </w:rPr>
        <w:t xml:space="preserve"> bazate pe intenție,</w:t>
      </w:r>
      <w:r w:rsidR="00195EB4" w:rsidRPr="00B048B5">
        <w:rPr>
          <w:rFonts w:ascii="Palatino Linotype" w:hAnsi="Palatino Linotype" w:cs="Times New Roman"/>
          <w:sz w:val="24"/>
          <w:szCs w:val="24"/>
          <w:lang w:val="ro-RO"/>
        </w:rPr>
        <w:t xml:space="preserve"> relativ asemănătoare cu primele două menționate anterior. Una dintre ele este discriminarea „blatant” (tr. eng. gălăgioasă) care este vizibilă, intenționată și relativ ușoară de recunoscut în societate. Celălalt tip de discriminare este cel subtil, care este slab </w:t>
      </w:r>
      <w:r w:rsidR="00195EB4" w:rsidRPr="00B048B5">
        <w:rPr>
          <w:rFonts w:ascii="Palatino Linotype" w:hAnsi="Palatino Linotype" w:cs="Times New Roman"/>
          <w:sz w:val="24"/>
          <w:szCs w:val="24"/>
          <w:lang w:val="ro-RO"/>
        </w:rPr>
        <w:lastRenderedPageBreak/>
        <w:t xml:space="preserve">vizibil, adesea interpersonal și neintenționat; este transpus în comportament nerespectuos (glume, evitare, hărțuire etc.). </w:t>
      </w:r>
    </w:p>
    <w:p w14:paraId="4FAEA83E" w14:textId="4B040C0C" w:rsidR="006366C5" w:rsidRDefault="006666BC"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Jones et al. (2007: 5) indică faptul că formalitatea și intenția celui care discriminează formează reprezentări diferite ale acestora. Spre exemplu, discriminarea „blatant” care este interpersonală se manifestă prin comentarii menite să stânjenească victima și să o submineze. În cazul discriminării de acest tip pe bază de gen, un comentariu ar fi asemănător cu acesta: </w:t>
      </w:r>
      <w:r w:rsidRPr="00B048B5">
        <w:rPr>
          <w:rFonts w:ascii="Palatino Linotype" w:hAnsi="Palatino Linotype" w:cs="Times New Roman"/>
          <w:i/>
          <w:iCs/>
          <w:sz w:val="24"/>
          <w:szCs w:val="24"/>
          <w:lang w:val="ro-RO"/>
        </w:rPr>
        <w:t xml:space="preserve">Nu consider că cineva care poartă </w:t>
      </w:r>
      <w:r w:rsidR="006A02D4" w:rsidRPr="00B048B5">
        <w:rPr>
          <w:rFonts w:ascii="Palatino Linotype" w:hAnsi="Palatino Linotype" w:cs="Times New Roman"/>
          <w:i/>
          <w:iCs/>
          <w:sz w:val="24"/>
          <w:szCs w:val="24"/>
          <w:lang w:val="ro-RO"/>
        </w:rPr>
        <w:t>rochie</w:t>
      </w:r>
      <w:r w:rsidRPr="00B048B5">
        <w:rPr>
          <w:rFonts w:ascii="Palatino Linotype" w:hAnsi="Palatino Linotype" w:cs="Times New Roman"/>
          <w:i/>
          <w:iCs/>
          <w:sz w:val="24"/>
          <w:szCs w:val="24"/>
          <w:lang w:val="ro-RO"/>
        </w:rPr>
        <w:t xml:space="preserve"> mă poate ajuta să-mi rezolv probl</w:t>
      </w:r>
      <w:r w:rsidR="006A02D4" w:rsidRPr="00B048B5">
        <w:rPr>
          <w:rFonts w:ascii="Palatino Linotype" w:hAnsi="Palatino Linotype" w:cs="Times New Roman"/>
          <w:i/>
          <w:iCs/>
          <w:sz w:val="24"/>
          <w:szCs w:val="24"/>
          <w:lang w:val="ro-RO"/>
        </w:rPr>
        <w:t>e</w:t>
      </w:r>
      <w:r w:rsidRPr="00B048B5">
        <w:rPr>
          <w:rFonts w:ascii="Palatino Linotype" w:hAnsi="Palatino Linotype" w:cs="Times New Roman"/>
          <w:i/>
          <w:iCs/>
          <w:sz w:val="24"/>
          <w:szCs w:val="24"/>
          <w:lang w:val="ro-RO"/>
        </w:rPr>
        <w:t>ma</w:t>
      </w:r>
      <w:r w:rsidRPr="00B048B5">
        <w:rPr>
          <w:rFonts w:ascii="Palatino Linotype" w:hAnsi="Palatino Linotype" w:cs="Times New Roman"/>
          <w:sz w:val="24"/>
          <w:szCs w:val="24"/>
          <w:lang w:val="ro-RO"/>
        </w:rPr>
        <w:t xml:space="preserve"> (Jones et al. 2007</w:t>
      </w:r>
      <w:r w:rsidR="006A02D4" w:rsidRPr="00B048B5">
        <w:rPr>
          <w:rFonts w:ascii="Palatino Linotype" w:hAnsi="Palatino Linotype" w:cs="Times New Roman"/>
          <w:sz w:val="24"/>
          <w:szCs w:val="24"/>
          <w:lang w:val="ro-RO"/>
        </w:rPr>
        <w:t>: 55</w:t>
      </w:r>
      <w:r w:rsidRPr="00B048B5">
        <w:rPr>
          <w:rFonts w:ascii="Palatino Linotype" w:hAnsi="Palatino Linotype" w:cs="Times New Roman"/>
          <w:sz w:val="24"/>
          <w:szCs w:val="24"/>
          <w:lang w:val="ro-RO"/>
        </w:rPr>
        <w:t xml:space="preserve">). </w:t>
      </w:r>
    </w:p>
    <w:p w14:paraId="686C511B" w14:textId="270F339A" w:rsidR="00144A82" w:rsidRDefault="00C32051"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P</w:t>
      </w:r>
      <w:r w:rsidR="00E12DE2">
        <w:rPr>
          <w:rFonts w:ascii="Palatino Linotype" w:hAnsi="Palatino Linotype" w:cs="Times New Roman"/>
          <w:sz w:val="24"/>
          <w:szCs w:val="24"/>
          <w:lang w:val="ro-RO"/>
        </w:rPr>
        <w:t xml:space="preserve">otrivit Pincus (1996 </w:t>
      </w:r>
      <w:r w:rsidR="00E12DE2">
        <w:rPr>
          <w:rFonts w:ascii="Palatino Linotype" w:hAnsi="Palatino Linotype" w:cs="Times New Roman"/>
          <w:i/>
          <w:iCs/>
          <w:sz w:val="24"/>
          <w:szCs w:val="24"/>
          <w:lang w:val="ro-RO"/>
        </w:rPr>
        <w:t xml:space="preserve">apud </w:t>
      </w:r>
      <w:r w:rsidR="00E12DE2">
        <w:rPr>
          <w:rFonts w:ascii="Palatino Linotype" w:hAnsi="Palatino Linotype" w:cs="Times New Roman"/>
          <w:sz w:val="24"/>
          <w:szCs w:val="24"/>
          <w:lang w:val="ro-RO"/>
        </w:rPr>
        <w:t>Pincus 1994)</w:t>
      </w:r>
      <w:r>
        <w:rPr>
          <w:rFonts w:ascii="Palatino Linotype" w:hAnsi="Palatino Linotype" w:cs="Times New Roman"/>
          <w:sz w:val="24"/>
          <w:szCs w:val="24"/>
          <w:lang w:val="ro-RO"/>
        </w:rPr>
        <w:t>,</w:t>
      </w:r>
      <w:r w:rsidRPr="00C32051">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 xml:space="preserve">există trei niveluri ale discriminării: nivel </w:t>
      </w:r>
      <w:r w:rsidR="00E12DE2">
        <w:rPr>
          <w:rFonts w:ascii="Palatino Linotype" w:hAnsi="Palatino Linotype" w:cs="Times New Roman"/>
          <w:sz w:val="24"/>
          <w:szCs w:val="24"/>
          <w:lang w:val="ro-RO"/>
        </w:rPr>
        <w:t>individual, instituțional și structural.</w:t>
      </w:r>
    </w:p>
    <w:p w14:paraId="0D3B661A" w14:textId="1C454B28" w:rsidR="00614F61" w:rsidRDefault="00614F61"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Nivelul individual </w:t>
      </w:r>
      <w:r w:rsidR="00BF794F">
        <w:rPr>
          <w:rFonts w:ascii="Palatino Linotype" w:hAnsi="Palatino Linotype" w:cs="Times New Roman"/>
          <w:sz w:val="24"/>
          <w:szCs w:val="24"/>
          <w:lang w:val="ro-RO"/>
        </w:rPr>
        <w:t>reprezintă comportamentul individual al membrilor unei anumite categorii</w:t>
      </w:r>
      <w:r w:rsidR="0045310E">
        <w:rPr>
          <w:rFonts w:ascii="Palatino Linotype" w:hAnsi="Palatino Linotype" w:cs="Times New Roman"/>
          <w:sz w:val="24"/>
          <w:szCs w:val="24"/>
          <w:lang w:val="ro-RO"/>
        </w:rPr>
        <w:t xml:space="preserve"> grupale</w:t>
      </w:r>
      <w:r w:rsidR="00BF794F">
        <w:rPr>
          <w:rFonts w:ascii="Palatino Linotype" w:hAnsi="Palatino Linotype" w:cs="Times New Roman"/>
          <w:sz w:val="24"/>
          <w:szCs w:val="24"/>
          <w:lang w:val="ro-RO"/>
        </w:rPr>
        <w:t xml:space="preserve"> (rasă, etnie, gen etc.)</w:t>
      </w:r>
      <w:r w:rsidR="005C20AD">
        <w:rPr>
          <w:rFonts w:ascii="Palatino Linotype" w:hAnsi="Palatino Linotype" w:cs="Times New Roman"/>
          <w:sz w:val="24"/>
          <w:szCs w:val="24"/>
          <w:lang w:val="ro-RO"/>
        </w:rPr>
        <w:t xml:space="preserve"> </w:t>
      </w:r>
      <w:r w:rsidR="00F948A9">
        <w:rPr>
          <w:rFonts w:ascii="Palatino Linotype" w:hAnsi="Palatino Linotype" w:cs="Times New Roman"/>
          <w:sz w:val="24"/>
          <w:szCs w:val="24"/>
          <w:lang w:val="ro-RO"/>
        </w:rPr>
        <w:t xml:space="preserve">care </w:t>
      </w:r>
      <w:r w:rsidR="008F23F3">
        <w:rPr>
          <w:rFonts w:ascii="Palatino Linotype" w:hAnsi="Palatino Linotype" w:cs="Times New Roman"/>
          <w:sz w:val="24"/>
          <w:szCs w:val="24"/>
          <w:lang w:val="ro-RO"/>
        </w:rPr>
        <w:t xml:space="preserve">intenționează </w:t>
      </w:r>
      <w:r w:rsidR="00EA6597">
        <w:rPr>
          <w:rFonts w:ascii="Palatino Linotype" w:hAnsi="Palatino Linotype" w:cs="Times New Roman"/>
          <w:sz w:val="24"/>
          <w:szCs w:val="24"/>
          <w:lang w:val="ro-RO"/>
        </w:rPr>
        <w:t xml:space="preserve">să aibă </w:t>
      </w:r>
      <w:r w:rsidR="00BE06C1">
        <w:rPr>
          <w:rFonts w:ascii="Palatino Linotype" w:hAnsi="Palatino Linotype" w:cs="Times New Roman"/>
          <w:sz w:val="24"/>
          <w:szCs w:val="24"/>
          <w:lang w:val="ro-RO"/>
        </w:rPr>
        <w:t xml:space="preserve">fie un efect diferențial, </w:t>
      </w:r>
      <w:r w:rsidR="006444F5">
        <w:rPr>
          <w:rFonts w:ascii="Palatino Linotype" w:hAnsi="Palatino Linotype" w:cs="Times New Roman"/>
          <w:sz w:val="24"/>
          <w:szCs w:val="24"/>
          <w:lang w:val="ro-RO"/>
        </w:rPr>
        <w:t>fie un efect deunător, fie ambele</w:t>
      </w:r>
      <w:r w:rsidR="00475F15">
        <w:rPr>
          <w:rFonts w:ascii="Palatino Linotype" w:hAnsi="Palatino Linotype" w:cs="Times New Roman"/>
          <w:sz w:val="24"/>
          <w:szCs w:val="24"/>
          <w:lang w:val="ro-RO"/>
        </w:rPr>
        <w:t xml:space="preserve"> față de </w:t>
      </w:r>
      <w:r w:rsidR="0089793D">
        <w:rPr>
          <w:rFonts w:ascii="Palatino Linotype" w:hAnsi="Palatino Linotype" w:cs="Times New Roman"/>
          <w:sz w:val="24"/>
          <w:szCs w:val="24"/>
          <w:lang w:val="ro-RO"/>
        </w:rPr>
        <w:t xml:space="preserve">un membru ori membrii al altui grup </w:t>
      </w:r>
      <w:r w:rsidR="00D93107">
        <w:rPr>
          <w:rFonts w:ascii="Palatino Linotype" w:hAnsi="Palatino Linotype" w:cs="Times New Roman"/>
          <w:sz w:val="24"/>
          <w:szCs w:val="24"/>
          <w:lang w:val="ro-RO"/>
        </w:rPr>
        <w:t>(</w:t>
      </w:r>
      <w:r w:rsidR="00D93107">
        <w:rPr>
          <w:rFonts w:ascii="Palatino Linotype" w:hAnsi="Palatino Linotype" w:cs="Times New Roman"/>
          <w:sz w:val="24"/>
          <w:szCs w:val="24"/>
          <w:lang w:val="ro-RO"/>
        </w:rPr>
        <w:t>Pincus</w:t>
      </w:r>
      <w:r w:rsidR="00D93107">
        <w:rPr>
          <w:rFonts w:ascii="Palatino Linotype" w:hAnsi="Palatino Linotype" w:cs="Times New Roman"/>
          <w:sz w:val="24"/>
          <w:szCs w:val="24"/>
          <w:lang w:val="ro-RO"/>
        </w:rPr>
        <w:t xml:space="preserve"> 1996</w:t>
      </w:r>
      <w:r w:rsidR="00292C64">
        <w:rPr>
          <w:rFonts w:ascii="Palatino Linotype" w:hAnsi="Palatino Linotype" w:cs="Times New Roman"/>
          <w:sz w:val="24"/>
          <w:szCs w:val="24"/>
          <w:lang w:val="ro-RO"/>
        </w:rPr>
        <w:t>: 186</w:t>
      </w:r>
      <w:r w:rsidR="00D93107">
        <w:rPr>
          <w:rFonts w:ascii="Palatino Linotype" w:hAnsi="Palatino Linotype" w:cs="Times New Roman"/>
          <w:sz w:val="24"/>
          <w:szCs w:val="24"/>
          <w:lang w:val="ro-RO"/>
        </w:rPr>
        <w:t xml:space="preserve">). </w:t>
      </w:r>
      <w:r w:rsidR="00EB0B72">
        <w:rPr>
          <w:rFonts w:ascii="Palatino Linotype" w:hAnsi="Palatino Linotype" w:cs="Times New Roman"/>
          <w:sz w:val="24"/>
          <w:szCs w:val="24"/>
          <w:lang w:val="ro-RO"/>
        </w:rPr>
        <w:t xml:space="preserve">Spre exemplu, ... </w:t>
      </w:r>
    </w:p>
    <w:p w14:paraId="0892CFA0" w14:textId="30F7A805" w:rsidR="00D93107" w:rsidRDefault="00D93107"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Nivelul instituțional </w:t>
      </w:r>
      <w:r w:rsidR="00C235EB">
        <w:rPr>
          <w:rFonts w:ascii="Palatino Linotype" w:hAnsi="Palatino Linotype" w:cs="Times New Roman"/>
          <w:sz w:val="24"/>
          <w:szCs w:val="24"/>
          <w:lang w:val="ro-RO"/>
        </w:rPr>
        <w:t>este diferit</w:t>
      </w:r>
      <w:r w:rsidR="00C90443">
        <w:rPr>
          <w:rFonts w:ascii="Palatino Linotype" w:hAnsi="Palatino Linotype" w:cs="Times New Roman"/>
          <w:sz w:val="24"/>
          <w:szCs w:val="24"/>
          <w:lang w:val="ro-RO"/>
        </w:rPr>
        <w:t xml:space="preserve"> de primul nivel</w:t>
      </w:r>
      <w:r w:rsidR="00DF788E">
        <w:rPr>
          <w:rFonts w:ascii="Palatino Linotype" w:hAnsi="Palatino Linotype" w:cs="Times New Roman"/>
          <w:sz w:val="24"/>
          <w:szCs w:val="24"/>
          <w:lang w:val="ro-RO"/>
        </w:rPr>
        <w:t xml:space="preserve"> deoarece </w:t>
      </w:r>
      <w:r w:rsidR="00FD7CF1">
        <w:rPr>
          <w:rFonts w:ascii="Palatino Linotype" w:hAnsi="Palatino Linotype" w:cs="Times New Roman"/>
          <w:sz w:val="24"/>
          <w:szCs w:val="24"/>
          <w:lang w:val="ro-RO"/>
        </w:rPr>
        <w:t>acesta ține de politicile rasei, etniei sau genului „dominant”</w:t>
      </w:r>
      <w:r w:rsidR="000A667B">
        <w:rPr>
          <w:rFonts w:ascii="Palatino Linotype" w:hAnsi="Palatino Linotype" w:cs="Times New Roman"/>
          <w:sz w:val="24"/>
          <w:szCs w:val="24"/>
          <w:lang w:val="ro-RO"/>
        </w:rPr>
        <w:t xml:space="preserve"> – grupul care </w:t>
      </w:r>
      <w:r w:rsidR="001B6158">
        <w:rPr>
          <w:rFonts w:ascii="Palatino Linotype" w:hAnsi="Palatino Linotype" w:cs="Times New Roman"/>
          <w:sz w:val="24"/>
          <w:szCs w:val="24"/>
          <w:lang w:val="ro-RO"/>
        </w:rPr>
        <w:t xml:space="preserve">este majoritar – </w:t>
      </w:r>
      <w:r w:rsidR="00FD7CF1">
        <w:rPr>
          <w:rFonts w:ascii="Palatino Linotype" w:hAnsi="Palatino Linotype" w:cs="Times New Roman"/>
          <w:sz w:val="24"/>
          <w:szCs w:val="24"/>
          <w:lang w:val="ro-RO"/>
        </w:rPr>
        <w:t>în acea instituție,</w:t>
      </w:r>
      <w:r w:rsidR="002F5A00">
        <w:rPr>
          <w:rFonts w:ascii="Palatino Linotype" w:hAnsi="Palatino Linotype" w:cs="Times New Roman"/>
          <w:sz w:val="24"/>
          <w:szCs w:val="24"/>
          <w:lang w:val="ro-RO"/>
        </w:rPr>
        <w:t xml:space="preserve"> dar și de comportamentul inșilor car</w:t>
      </w:r>
      <w:r w:rsidR="00F95968">
        <w:rPr>
          <w:rFonts w:ascii="Palatino Linotype" w:hAnsi="Palatino Linotype" w:cs="Times New Roman"/>
          <w:sz w:val="24"/>
          <w:szCs w:val="24"/>
          <w:lang w:val="ro-RO"/>
        </w:rPr>
        <w:t>e</w:t>
      </w:r>
      <w:r w:rsidR="002F5A00">
        <w:rPr>
          <w:rFonts w:ascii="Palatino Linotype" w:hAnsi="Palatino Linotype" w:cs="Times New Roman"/>
          <w:sz w:val="24"/>
          <w:szCs w:val="24"/>
          <w:lang w:val="ro-RO"/>
        </w:rPr>
        <w:t xml:space="preserve"> controlează insituția respectivă</w:t>
      </w:r>
      <w:r w:rsidR="000A667B">
        <w:rPr>
          <w:rFonts w:ascii="Palatino Linotype" w:hAnsi="Palatino Linotype" w:cs="Times New Roman"/>
          <w:sz w:val="24"/>
          <w:szCs w:val="24"/>
          <w:lang w:val="ro-RO"/>
        </w:rPr>
        <w:t xml:space="preserve"> și implementează politicile care au intenția de a </w:t>
      </w:r>
      <w:r w:rsidR="00EC732F">
        <w:rPr>
          <w:rFonts w:ascii="Palatino Linotype" w:hAnsi="Palatino Linotype" w:cs="Times New Roman"/>
          <w:sz w:val="24"/>
          <w:szCs w:val="24"/>
          <w:lang w:val="ro-RO"/>
        </w:rPr>
        <w:t xml:space="preserve">avea efect dăunător/discriminatoriu asupra minorității existente în </w:t>
      </w:r>
      <w:r w:rsidR="00292C64">
        <w:rPr>
          <w:rFonts w:ascii="Palatino Linotype" w:hAnsi="Palatino Linotype" w:cs="Times New Roman"/>
          <w:sz w:val="24"/>
          <w:szCs w:val="24"/>
          <w:lang w:val="ro-RO"/>
        </w:rPr>
        <w:t>instituție (</w:t>
      </w:r>
      <w:r w:rsidR="00292C64">
        <w:rPr>
          <w:rFonts w:ascii="Palatino Linotype" w:hAnsi="Palatino Linotype" w:cs="Times New Roman"/>
          <w:sz w:val="24"/>
          <w:szCs w:val="24"/>
          <w:lang w:val="ro-RO"/>
        </w:rPr>
        <w:t>Pincus 1996</w:t>
      </w:r>
      <w:r w:rsidR="00292C64">
        <w:rPr>
          <w:rFonts w:ascii="Palatino Linotype" w:hAnsi="Palatino Linotype" w:cs="Times New Roman"/>
          <w:sz w:val="24"/>
          <w:szCs w:val="24"/>
          <w:lang w:val="ro-RO"/>
        </w:rPr>
        <w:t>: 186</w:t>
      </w:r>
      <w:r w:rsidR="00292C64">
        <w:rPr>
          <w:rFonts w:ascii="Palatino Linotype" w:hAnsi="Palatino Linotype" w:cs="Times New Roman"/>
          <w:sz w:val="24"/>
          <w:szCs w:val="24"/>
          <w:lang w:val="ro-RO"/>
        </w:rPr>
        <w:t>).</w:t>
      </w:r>
      <w:r w:rsidR="00EB0B72">
        <w:rPr>
          <w:rFonts w:ascii="Palatino Linotype" w:hAnsi="Palatino Linotype" w:cs="Times New Roman"/>
          <w:sz w:val="24"/>
          <w:szCs w:val="24"/>
          <w:lang w:val="ro-RO"/>
        </w:rPr>
        <w:t xml:space="preserve"> Spre exemplu...</w:t>
      </w:r>
    </w:p>
    <w:p w14:paraId="313F44A1" w14:textId="419ACEB4" w:rsidR="00292C64" w:rsidRPr="00292C64" w:rsidRDefault="00292C64"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Ultimul nivel, cel structural </w:t>
      </w:r>
      <w:r w:rsidR="00FC5CAF">
        <w:rPr>
          <w:rFonts w:ascii="Palatino Linotype" w:hAnsi="Palatino Linotype" w:cs="Times New Roman"/>
          <w:sz w:val="24"/>
          <w:szCs w:val="24"/>
          <w:lang w:val="ro-RO"/>
        </w:rPr>
        <w:t xml:space="preserve">se referă și el la politicile rasei, etniei sau genului </w:t>
      </w:r>
      <w:r w:rsidR="00802EA3">
        <w:rPr>
          <w:rFonts w:ascii="Palatino Linotype" w:hAnsi="Palatino Linotype" w:cs="Times New Roman"/>
          <w:sz w:val="24"/>
          <w:szCs w:val="24"/>
          <w:lang w:val="ro-RO"/>
        </w:rPr>
        <w:t>„dominant”</w:t>
      </w:r>
      <w:r w:rsidR="00E17209">
        <w:rPr>
          <w:rFonts w:ascii="Palatino Linotype" w:hAnsi="Palatino Linotype" w:cs="Times New Roman"/>
          <w:sz w:val="24"/>
          <w:szCs w:val="24"/>
          <w:lang w:val="ro-RO"/>
        </w:rPr>
        <w:t xml:space="preserve"> în acea instituție și comportamentul </w:t>
      </w:r>
      <w:r w:rsidR="00EA550B">
        <w:rPr>
          <w:rFonts w:ascii="Palatino Linotype" w:hAnsi="Palatino Linotype" w:cs="Times New Roman"/>
          <w:sz w:val="24"/>
          <w:szCs w:val="24"/>
          <w:lang w:val="ro-RO"/>
        </w:rPr>
        <w:t>indivizilor care i</w:t>
      </w:r>
      <w:r w:rsidR="007712EF">
        <w:rPr>
          <w:rFonts w:ascii="Palatino Linotype" w:hAnsi="Palatino Linotype" w:cs="Times New Roman"/>
          <w:sz w:val="24"/>
          <w:szCs w:val="24"/>
          <w:lang w:val="ro-RO"/>
        </w:rPr>
        <w:t>mplementează politicile aparent nediscriminatorii, dar care au totuși efect di</w:t>
      </w:r>
      <w:r w:rsidR="0018752F">
        <w:rPr>
          <w:rFonts w:ascii="Palatino Linotype" w:hAnsi="Palatino Linotype" w:cs="Times New Roman"/>
          <w:sz w:val="24"/>
          <w:szCs w:val="24"/>
          <w:lang w:val="ro-RO"/>
        </w:rPr>
        <w:t>scrimintaoriu asupra minorităților existente în instituție (</w:t>
      </w:r>
      <w:r w:rsidR="0018752F">
        <w:rPr>
          <w:rFonts w:ascii="Palatino Linotype" w:hAnsi="Palatino Linotype" w:cs="Times New Roman"/>
          <w:sz w:val="24"/>
          <w:szCs w:val="24"/>
          <w:lang w:val="ro-RO"/>
        </w:rPr>
        <w:t>Pincus 1996: 186).</w:t>
      </w:r>
      <w:r w:rsidR="00EB0B72">
        <w:rPr>
          <w:rFonts w:ascii="Palatino Linotype" w:hAnsi="Palatino Linotype" w:cs="Times New Roman"/>
          <w:sz w:val="24"/>
          <w:szCs w:val="24"/>
          <w:lang w:val="ro-RO"/>
        </w:rPr>
        <w:t xml:space="preserve"> Spre exemplu ...</w:t>
      </w:r>
    </w:p>
    <w:p w14:paraId="5B52C5AE" w14:textId="77777777"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Efectul stereotipurilor asupra percepției locurilor de muncă</w:t>
      </w:r>
    </w:p>
    <w:p w14:paraId="11769BF3"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Firmele sunt expuse pierderii unor potențiale talente din cauza unei angajări bazate pe prejudecăți, iar oamenii care au fost victime ale acestui tip de angajare – </w:t>
      </w:r>
      <w:r w:rsidRPr="00B048B5">
        <w:rPr>
          <w:rFonts w:ascii="Palatino Linotype" w:hAnsi="Palatino Linotype" w:cs="Times New Roman"/>
          <w:sz w:val="24"/>
          <w:szCs w:val="24"/>
          <w:lang w:val="ro-RO"/>
        </w:rPr>
        <w:lastRenderedPageBreak/>
        <w:t>părtinitoare, bazată pe prejudecăți – își alocă mai mult timp și resurse căutării unui loc de muncă (</w:t>
      </w:r>
      <w:r w:rsidRPr="00B048B5">
        <w:rPr>
          <w:rFonts w:ascii="Palatino Linotype" w:hAnsi="Palatino Linotype" w:cs="Times New Roman"/>
          <w:i/>
          <w:iCs/>
          <w:sz w:val="24"/>
          <w:szCs w:val="24"/>
          <w:lang w:val="ro-RO"/>
        </w:rPr>
        <w:t>Equality Challenge Unit</w:t>
      </w:r>
      <w:r w:rsidRPr="00B048B5">
        <w:rPr>
          <w:rFonts w:ascii="Palatino Linotype" w:hAnsi="Palatino Linotype" w:cs="Times New Roman"/>
          <w:sz w:val="24"/>
          <w:szCs w:val="24"/>
          <w:lang w:val="ro-RO"/>
        </w:rPr>
        <w:t xml:space="preserve"> 2009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Drydakis 2015). </w:t>
      </w:r>
    </w:p>
    <w:p w14:paraId="0E4976CC"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335F2875" w14:textId="4A0F44DC"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Teoria rolurilor sociale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bărbații sunt cei caracterizați ca fiind „agentic” (deriv. „agency”;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dentotă din „agency” sunt: competență, ambiție, independență, caracter analitic, dominant și asertiv (Heilman 2012: 115). Astfel spus, pe piața muncii femeile fac parte din organizații care oferă servicii și care sunt orientate spre oameni, iar bărbații sunt prezenți în ocupații competitive, orientate spre lucruri (Hentschel et al. 2019: 2).</w:t>
      </w:r>
    </w:p>
    <w:p w14:paraId="649FDAC2"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 </w:t>
      </w:r>
    </w:p>
    <w:p w14:paraId="63981E8A" w14:textId="5E23CABD"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Precum menționat anterior, bărbații sunt caracterizați stereotipici prin „agency”. Opozițional, femeile sunt caracterizate de „communality”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comunalitate, </w:t>
      </w:r>
      <w:r w:rsidRPr="00B048B5">
        <w:rPr>
          <w:rFonts w:ascii="Palatino Linotype" w:hAnsi="Palatino Linotype" w:cs="Times New Roman"/>
          <w:sz w:val="24"/>
          <w:szCs w:val="24"/>
          <w:lang w:val="ro-RO"/>
        </w:rPr>
        <w:lastRenderedPageBreak/>
        <w:t>comunicare), având ca trăsături definitorii: amabilitate, căldură, colaborativitate, deferență și sensibilitate emoțională. Așadar, ambele sexe sunt proiectate în opoziție, femeile fiind descrise ca ceea ce le lipsește bărbaților (ex. compasiune, căldură, înțelegere, gândire emoțională) și viceversa (Heilman 2012: 115).</w:t>
      </w:r>
    </w:p>
    <w:p w14:paraId="5DD87AB5"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02419ECF" w:rsidR="005E3AF4"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2A76141D" w14:textId="594B95FF" w:rsidR="00B22062" w:rsidRPr="00B048B5" w:rsidRDefault="00B22062" w:rsidP="00B048B5">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Aparent, în urma analizării computerizate a reacțiilor contra-timp, s-a observat că </w:t>
      </w:r>
    </w:p>
    <w:p w14:paraId="727D0BCA" w14:textId="611915D4"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w:t>
      </w:r>
      <w:r w:rsidRPr="00B048B5">
        <w:rPr>
          <w:rFonts w:ascii="Palatino Linotype" w:hAnsi="Palatino Linotype" w:cs="Times New Roman"/>
          <w:sz w:val="24"/>
          <w:szCs w:val="24"/>
          <w:lang w:val="ro-RO"/>
        </w:rPr>
        <w:lastRenderedPageBreak/>
        <w:t xml:space="preserve">muncitor necalificat sau electrician), dar ar fi părtinite în cazul job-urilor predominate de femei (ex.: intendent, administrator sau recepționist). </w:t>
      </w:r>
      <w:r w:rsidRPr="00B048B5">
        <w:rPr>
          <w:rFonts w:ascii="Palatino Linotype" w:eastAsia="Times New Roman" w:hAnsi="Palatino Linotype" w:cs="Times New Roman"/>
          <w:sz w:val="24"/>
          <w:szCs w:val="24"/>
          <w:lang w:val="ro-RO"/>
        </w:rPr>
        <w:t xml:space="preserve">Riach și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B048B5">
        <w:rPr>
          <w:rFonts w:ascii="Palatino Linotype" w:eastAsia="Times New Roman" w:hAnsi="Palatino Linotype" w:cs="Times New Roman"/>
          <w:sz w:val="24"/>
          <w:szCs w:val="24"/>
          <w:lang w:val="ro-RO"/>
        </w:rPr>
        <w:t xml:space="preserve">Riach </w:t>
      </w:r>
      <w:r w:rsidR="003F4E3B" w:rsidRPr="00B048B5">
        <w:rPr>
          <w:rFonts w:ascii="Palatino Linotype" w:eastAsia="Times New Roman" w:hAnsi="Palatino Linotype" w:cs="Times New Roman"/>
          <w:sz w:val="24"/>
          <w:szCs w:val="24"/>
          <w:lang w:val="ro-RO"/>
        </w:rPr>
        <w:t>și</w:t>
      </w:r>
      <w:r w:rsidRPr="00B048B5">
        <w:rPr>
          <w:rFonts w:ascii="Palatino Linotype" w:eastAsia="Times New Roman" w:hAnsi="Palatino Linotype" w:cs="Times New Roman"/>
          <w:sz w:val="24"/>
          <w:szCs w:val="24"/>
          <w:lang w:val="ro-RO"/>
        </w:rPr>
        <w:t xml:space="preserve">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Thomas care presupune că: „dacă definești o situație ca fiind reală, aceasta va deveni reală în consecința sa” (Morândău 2020). </w:t>
      </w:r>
    </w:p>
    <w:p w14:paraId="47EE6738"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6B032236" w14:textId="3E9B63F0" w:rsidR="002170A2" w:rsidRDefault="005E3AF4" w:rsidP="00006443">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În sprijinul acestei corelări vine Banton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A55BF1C" w14:textId="77777777" w:rsidR="00006443" w:rsidRPr="00006443" w:rsidRDefault="00006443" w:rsidP="00006443">
      <w:pPr>
        <w:pStyle w:val="ListParagraph"/>
        <w:spacing w:after="0" w:line="360" w:lineRule="auto"/>
        <w:ind w:left="360" w:firstLine="360"/>
        <w:jc w:val="both"/>
        <w:rPr>
          <w:rFonts w:ascii="Palatino Linotype" w:hAnsi="Palatino Linotype" w:cs="Times New Roman"/>
          <w:sz w:val="24"/>
          <w:szCs w:val="24"/>
          <w:lang w:val="ro-RO"/>
        </w:rPr>
      </w:pPr>
    </w:p>
    <w:sectPr w:rsidR="00006443" w:rsidRPr="00006443"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B50A" w14:textId="77777777" w:rsidR="00927B66" w:rsidRDefault="00927B66" w:rsidP="002C63E9">
      <w:pPr>
        <w:spacing w:after="0" w:line="240" w:lineRule="auto"/>
      </w:pPr>
      <w:r>
        <w:separator/>
      </w:r>
    </w:p>
  </w:endnote>
  <w:endnote w:type="continuationSeparator" w:id="0">
    <w:p w14:paraId="130D2DBC" w14:textId="77777777" w:rsidR="00927B66" w:rsidRDefault="00927B66"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02155"/>
      <w:docPartObj>
        <w:docPartGallery w:val="Page Numbers (Bottom of Page)"/>
        <w:docPartUnique/>
      </w:docPartObj>
    </w:sdtPr>
    <w:sdtEndPr>
      <w:rPr>
        <w:noProof/>
      </w:rPr>
    </w:sdtEndPr>
    <w:sdtContent>
      <w:p w14:paraId="2AFBDAA0" w14:textId="4EA22E01" w:rsidR="003F4E3B" w:rsidRDefault="003F4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C8F9C" w14:textId="176E45A4" w:rsidR="00D068C0" w:rsidRPr="00D068C0" w:rsidRDefault="00D068C0" w:rsidP="00D06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FB9C" w14:textId="77777777" w:rsidR="00927B66" w:rsidRDefault="00927B66" w:rsidP="002C63E9">
      <w:pPr>
        <w:spacing w:after="0" w:line="240" w:lineRule="auto"/>
      </w:pPr>
      <w:r>
        <w:separator/>
      </w:r>
    </w:p>
  </w:footnote>
  <w:footnote w:type="continuationSeparator" w:id="0">
    <w:p w14:paraId="4714B873" w14:textId="77777777" w:rsidR="00927B66" w:rsidRDefault="00927B66"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0DE" w14:textId="77777777" w:rsidR="005E3AF4" w:rsidRDefault="005E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55D77"/>
    <w:multiLevelType w:val="multilevel"/>
    <w:tmpl w:val="9A260C1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0"/>
  </w:num>
  <w:num w:numId="4">
    <w:abstractNumId w:val="9"/>
  </w:num>
  <w:num w:numId="5">
    <w:abstractNumId w:val="0"/>
  </w:num>
  <w:num w:numId="6">
    <w:abstractNumId w:val="5"/>
  </w:num>
  <w:num w:numId="7">
    <w:abstractNumId w:val="7"/>
  </w:num>
  <w:num w:numId="8">
    <w:abstractNumId w:val="3"/>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6443"/>
    <w:rsid w:val="000113DC"/>
    <w:rsid w:val="00015166"/>
    <w:rsid w:val="000214F0"/>
    <w:rsid w:val="00035B1E"/>
    <w:rsid w:val="0004159E"/>
    <w:rsid w:val="00042A91"/>
    <w:rsid w:val="00086B85"/>
    <w:rsid w:val="000A667B"/>
    <w:rsid w:val="000C370F"/>
    <w:rsid w:val="000D1490"/>
    <w:rsid w:val="000D202D"/>
    <w:rsid w:val="000F6B76"/>
    <w:rsid w:val="0010605A"/>
    <w:rsid w:val="00110603"/>
    <w:rsid w:val="001124D8"/>
    <w:rsid w:val="00113497"/>
    <w:rsid w:val="0012099D"/>
    <w:rsid w:val="00124949"/>
    <w:rsid w:val="001267EF"/>
    <w:rsid w:val="00144A82"/>
    <w:rsid w:val="00157AB3"/>
    <w:rsid w:val="00160B03"/>
    <w:rsid w:val="00185F69"/>
    <w:rsid w:val="0018752F"/>
    <w:rsid w:val="00195EB4"/>
    <w:rsid w:val="001B6158"/>
    <w:rsid w:val="001E1B32"/>
    <w:rsid w:val="001F672D"/>
    <w:rsid w:val="0020583F"/>
    <w:rsid w:val="002170A2"/>
    <w:rsid w:val="00223DFA"/>
    <w:rsid w:val="00256664"/>
    <w:rsid w:val="00262787"/>
    <w:rsid w:val="002674B1"/>
    <w:rsid w:val="00277433"/>
    <w:rsid w:val="002863B4"/>
    <w:rsid w:val="00292358"/>
    <w:rsid w:val="00292C64"/>
    <w:rsid w:val="00295DA6"/>
    <w:rsid w:val="002A14E9"/>
    <w:rsid w:val="002C63E9"/>
    <w:rsid w:val="002C6C4E"/>
    <w:rsid w:val="002D0C0A"/>
    <w:rsid w:val="002E655B"/>
    <w:rsid w:val="002F01E5"/>
    <w:rsid w:val="002F3381"/>
    <w:rsid w:val="002F5A00"/>
    <w:rsid w:val="0030034D"/>
    <w:rsid w:val="00307637"/>
    <w:rsid w:val="00323DC3"/>
    <w:rsid w:val="00357B56"/>
    <w:rsid w:val="003641C7"/>
    <w:rsid w:val="00384B41"/>
    <w:rsid w:val="00392837"/>
    <w:rsid w:val="003A1FA7"/>
    <w:rsid w:val="003E2D74"/>
    <w:rsid w:val="003F4E3B"/>
    <w:rsid w:val="003F5248"/>
    <w:rsid w:val="004421DF"/>
    <w:rsid w:val="0045310E"/>
    <w:rsid w:val="00460B30"/>
    <w:rsid w:val="00475F15"/>
    <w:rsid w:val="00490FD9"/>
    <w:rsid w:val="004D4325"/>
    <w:rsid w:val="0051564C"/>
    <w:rsid w:val="0052463E"/>
    <w:rsid w:val="005415CB"/>
    <w:rsid w:val="0054191D"/>
    <w:rsid w:val="00545DA1"/>
    <w:rsid w:val="00556AB7"/>
    <w:rsid w:val="005639F2"/>
    <w:rsid w:val="00585D09"/>
    <w:rsid w:val="0058615B"/>
    <w:rsid w:val="00587E9C"/>
    <w:rsid w:val="005C20AD"/>
    <w:rsid w:val="005E3AF4"/>
    <w:rsid w:val="00614F61"/>
    <w:rsid w:val="00620BCF"/>
    <w:rsid w:val="00623D7A"/>
    <w:rsid w:val="00630A91"/>
    <w:rsid w:val="0063507F"/>
    <w:rsid w:val="006366C5"/>
    <w:rsid w:val="0064316C"/>
    <w:rsid w:val="006444F5"/>
    <w:rsid w:val="00653889"/>
    <w:rsid w:val="006612F9"/>
    <w:rsid w:val="006666BC"/>
    <w:rsid w:val="00673CF4"/>
    <w:rsid w:val="006A02D4"/>
    <w:rsid w:val="006A7E9F"/>
    <w:rsid w:val="006B229E"/>
    <w:rsid w:val="006B462F"/>
    <w:rsid w:val="00705DC7"/>
    <w:rsid w:val="0070739D"/>
    <w:rsid w:val="00726B8F"/>
    <w:rsid w:val="0076166A"/>
    <w:rsid w:val="0077034A"/>
    <w:rsid w:val="007712EF"/>
    <w:rsid w:val="00777FFE"/>
    <w:rsid w:val="00796C46"/>
    <w:rsid w:val="007C70BC"/>
    <w:rsid w:val="007F155D"/>
    <w:rsid w:val="00802EA3"/>
    <w:rsid w:val="00806EC8"/>
    <w:rsid w:val="008701BF"/>
    <w:rsid w:val="0089793D"/>
    <w:rsid w:val="008A008A"/>
    <w:rsid w:val="008A0DE2"/>
    <w:rsid w:val="008A6644"/>
    <w:rsid w:val="008A7EAB"/>
    <w:rsid w:val="008B1A9E"/>
    <w:rsid w:val="008D0E86"/>
    <w:rsid w:val="008F1C64"/>
    <w:rsid w:val="008F23F3"/>
    <w:rsid w:val="008F6DB5"/>
    <w:rsid w:val="00916CB6"/>
    <w:rsid w:val="00923A9A"/>
    <w:rsid w:val="009252D0"/>
    <w:rsid w:val="00927B66"/>
    <w:rsid w:val="0093633B"/>
    <w:rsid w:val="00937178"/>
    <w:rsid w:val="00944D40"/>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749FD"/>
    <w:rsid w:val="00BA3B72"/>
    <w:rsid w:val="00BE06C1"/>
    <w:rsid w:val="00BE1E0B"/>
    <w:rsid w:val="00BE1ECF"/>
    <w:rsid w:val="00BF37E0"/>
    <w:rsid w:val="00BF794F"/>
    <w:rsid w:val="00C235EB"/>
    <w:rsid w:val="00C32051"/>
    <w:rsid w:val="00C66622"/>
    <w:rsid w:val="00C90443"/>
    <w:rsid w:val="00C96F99"/>
    <w:rsid w:val="00CA5E6D"/>
    <w:rsid w:val="00CC42BA"/>
    <w:rsid w:val="00CC47F2"/>
    <w:rsid w:val="00D02A3E"/>
    <w:rsid w:val="00D068C0"/>
    <w:rsid w:val="00D75FE5"/>
    <w:rsid w:val="00D8435C"/>
    <w:rsid w:val="00D909BA"/>
    <w:rsid w:val="00D92B93"/>
    <w:rsid w:val="00D93107"/>
    <w:rsid w:val="00D96F07"/>
    <w:rsid w:val="00DB77E4"/>
    <w:rsid w:val="00DF5DBB"/>
    <w:rsid w:val="00DF788E"/>
    <w:rsid w:val="00E0189E"/>
    <w:rsid w:val="00E04837"/>
    <w:rsid w:val="00E12DE2"/>
    <w:rsid w:val="00E142B4"/>
    <w:rsid w:val="00E17209"/>
    <w:rsid w:val="00E2307A"/>
    <w:rsid w:val="00E23434"/>
    <w:rsid w:val="00E378E6"/>
    <w:rsid w:val="00E52273"/>
    <w:rsid w:val="00E60E5A"/>
    <w:rsid w:val="00E70B83"/>
    <w:rsid w:val="00EA550B"/>
    <w:rsid w:val="00EA6597"/>
    <w:rsid w:val="00EB0B72"/>
    <w:rsid w:val="00EC5791"/>
    <w:rsid w:val="00EC732F"/>
    <w:rsid w:val="00EE3355"/>
    <w:rsid w:val="00EF690A"/>
    <w:rsid w:val="00F26CCC"/>
    <w:rsid w:val="00F47C2A"/>
    <w:rsid w:val="00F725AA"/>
    <w:rsid w:val="00F948A9"/>
    <w:rsid w:val="00F95968"/>
    <w:rsid w:val="00FA1463"/>
    <w:rsid w:val="00FA52FD"/>
    <w:rsid w:val="00FB7283"/>
    <w:rsid w:val="00FC5CAF"/>
    <w:rsid w:val="00FC7399"/>
    <w:rsid w:val="00FD7CF1"/>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11</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manu popa</cp:lastModifiedBy>
  <cp:revision>48</cp:revision>
  <dcterms:created xsi:type="dcterms:W3CDTF">2020-10-13T21:47:00Z</dcterms:created>
  <dcterms:modified xsi:type="dcterms:W3CDTF">2022-10-18T08:39:00Z</dcterms:modified>
</cp:coreProperties>
</file>