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1270000" cy="1270000"/>
            <wp:effectExtent b="0" l="0" r="0" t="0"/>
            <wp:docPr descr="logo" title="" id="10" name="Picture"/>
            <a:graphic>
              <a:graphicData uri="http://schemas.openxmlformats.org/drawingml/2006/picture">
                <pic:pic>
                  <pic:nvPicPr>
                    <pic:cNvPr descr="logo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</w:t>
      </w:r>
    </w:p>
    <w:bookmarkStart w:id="15" w:name="Xd7d96f93761244f570f5824f959c12bed8219b1"/>
    <w:p>
      <w:pPr>
        <w:pStyle w:val="Heading1"/>
      </w:pPr>
      <w:r>
        <w:t xml:space="preserve">Relazione del progetto d’esame di Editoria Digitale</w:t>
      </w:r>
    </w:p>
    <w:p>
      <w:pPr>
        <w:pStyle w:val="FirstParagraph"/>
      </w:pPr>
      <w:r>
        <w:rPr>
          <w:b/>
          <w:bCs/>
        </w:rPr>
        <w:t xml:space="preserve">Esposito Andrea – 20965A</w:t>
      </w:r>
      <w:r>
        <w:br/>
      </w:r>
      <w:r>
        <w:rPr>
          <w:b/>
          <w:bCs/>
        </w:rPr>
        <w:t xml:space="preserve">a.a. 2024/2025</w:t>
      </w:r>
    </w:p>
    <w:bookmarkStart w:id="12" w:name="titolo-progetto-desame"/>
    <w:p>
      <w:pPr>
        <w:pStyle w:val="Heading2"/>
      </w:pPr>
      <w:r>
        <w:t xml:space="preserve">Titolo Progetto d’Esame</w:t>
      </w:r>
    </w:p>
    <w:p>
      <w:pPr>
        <w:pStyle w:val="FirstParagraph"/>
      </w:pPr>
      <w:r>
        <w:rPr>
          <w:b/>
          <w:bCs/>
        </w:rPr>
        <w:t xml:space="preserve">I Giochi della II Olimpiade – Parigi 1900</w:t>
      </w:r>
      <w:r>
        <w:br/>
      </w:r>
      <w:r>
        <w:rPr>
          <w:i/>
          <w:iCs/>
        </w:rPr>
        <w:t xml:space="preserve">Un progetto editoriale digitale per raccontare la storia dello sport</w:t>
      </w:r>
    </w:p>
    <w:bookmarkEnd w:id="12"/>
    <w:bookmarkStart w:id="13" w:name="introduzione"/>
    <w:p>
      <w:pPr>
        <w:pStyle w:val="Heading2"/>
      </w:pPr>
      <w:r>
        <w:t xml:space="preserve">Introduzione</w:t>
      </w:r>
    </w:p>
    <w:p>
      <w:pPr>
        <w:pStyle w:val="FirstParagraph"/>
      </w:pPr>
      <w:r>
        <w:t xml:space="preserve">Il presente progetto si propone di valorizzare uno degli eventi più emblematici – quanto trascurati – della storia sportiva moderna:</w:t>
      </w:r>
      <w:r>
        <w:t xml:space="preserve"> </w:t>
      </w:r>
      <w:r>
        <w:rPr>
          <w:b/>
          <w:bCs/>
        </w:rPr>
        <w:t xml:space="preserve">i Giochi della II Olimpiade</w:t>
      </w:r>
      <w:r>
        <w:t xml:space="preserve">, tenutisi a</w:t>
      </w:r>
      <w:r>
        <w:t xml:space="preserve"> </w:t>
      </w:r>
      <w:r>
        <w:rPr>
          <w:b/>
          <w:bCs/>
        </w:rPr>
        <w:t xml:space="preserve">Parigi nel 1900</w:t>
      </w:r>
      <w:r>
        <w:t xml:space="preserve">, in concomitanza con l’Esposizione Universale. L’intento non è solo quello di restituire una narrazione storica, ma di farlo</w:t>
      </w:r>
      <w:r>
        <w:t xml:space="preserve"> </w:t>
      </w:r>
      <w:r>
        <w:rPr>
          <w:b/>
          <w:bCs/>
        </w:rPr>
        <w:t xml:space="preserve">attraverso un prodotto editoriale digitale</w:t>
      </w:r>
      <w:r>
        <w:t xml:space="preserve">, concepito per essere</w:t>
      </w:r>
      <w:r>
        <w:t xml:space="preserve"> </w:t>
      </w:r>
      <w:r>
        <w:rPr>
          <w:b/>
          <w:bCs/>
        </w:rPr>
        <w:t xml:space="preserve">fruibile, accessibile e multi-piattaforma</w:t>
      </w:r>
      <w:r>
        <w:t xml:space="preserve">.</w:t>
      </w:r>
    </w:p>
    <w:p>
      <w:pPr>
        <w:pStyle w:val="BodyText"/>
      </w:pPr>
      <w:r>
        <w:t xml:space="preserve">A partire dall’analisi di fonti primarie e secondarie, il contenuto è stato rielaborato con una struttura narrativa che guida il lettore dalla cornice storica alle discipline sportive, dalle controversie organizzative fino all’eredità culturale lasciata da quell’edizione. Il progetto non si limita a una riproposizione di contenuti, ma mira a essere un</w:t>
      </w:r>
      <w:r>
        <w:t xml:space="preserve"> </w:t>
      </w:r>
      <w:r>
        <w:rPr>
          <w:b/>
          <w:bCs/>
        </w:rPr>
        <w:t xml:space="preserve">caso di studio applicato di editoria digitale</w:t>
      </w:r>
      <w:r>
        <w:t xml:space="preserve">, utilizzando strumenti e tecnologie che permettono di produrre</w:t>
      </w:r>
      <w:r>
        <w:t xml:space="preserve"> </w:t>
      </w:r>
      <w:r>
        <w:rPr>
          <w:b/>
          <w:bCs/>
        </w:rPr>
        <w:t xml:space="preserve">formati multipli (PDF, ePub, HTML)</w:t>
      </w:r>
      <w:r>
        <w:t xml:space="preserve"> </w:t>
      </w:r>
      <w:r>
        <w:t xml:space="preserve">partendo da un’unica fonte strutturata.</w:t>
      </w:r>
    </w:p>
    <w:bookmarkEnd w:id="13"/>
    <w:bookmarkStart w:id="14" w:name="ideazione"/>
    <w:p>
      <w:pPr>
        <w:pStyle w:val="Heading2"/>
      </w:pPr>
      <w:r>
        <w:t xml:space="preserve">Ideazione</w:t>
      </w:r>
    </w:p>
    <w:bookmarkEnd w:id="14"/>
    <w:bookmarkEnd w:id="15"/>
    <w:bookmarkStart w:id="17" w:name="section"/>
    <w:p>
      <w:pPr>
        <w:pStyle w:val="Heading1"/>
      </w:pPr>
    </w:p>
    <w:bookmarkStart w:id="16" w:name="tema"/>
    <w:p>
      <w:pPr>
        <w:pStyle w:val="Heading2"/>
      </w:pPr>
      <w:r>
        <w:t xml:space="preserve">Tema</w:t>
      </w:r>
    </w:p>
    <w:p>
      <w:pPr>
        <w:pStyle w:val="FirstParagraph"/>
      </w:pPr>
      <w:r>
        <w:t xml:space="preserve">Il tema scelto, “</w:t>
      </w:r>
      <w:r>
        <w:rPr>
          <w:b/>
          <w:bCs/>
        </w:rPr>
        <w:t xml:space="preserve">I Giochi Olimpici di Parigi 1900: sport, storia e comunicazione</w:t>
      </w:r>
      <w:r>
        <w:t xml:space="preserve">”, offre un’opportunità unica per</w:t>
      </w:r>
      <w:r>
        <w:t xml:space="preserve"> </w:t>
      </w:r>
      <w:r>
        <w:rPr>
          <w:b/>
          <w:bCs/>
        </w:rPr>
        <w:t xml:space="preserve">intrecciare narrazione storica, riflessione culturale e innovazione documentale</w:t>
      </w:r>
      <w:r>
        <w:t xml:space="preserve">.</w:t>
      </w:r>
      <w:r>
        <w:br/>
      </w:r>
      <w:r>
        <w:t xml:space="preserve">L’edizione del 1900 rappresenta una delle più particolari nella storia delle Olimpiadi: la prima a includere donne, caratterizzata da discipline oggi scomparse e da una gestione organizzativa confusa.</w:t>
      </w:r>
      <w:r>
        <w:br/>
      </w:r>
      <w:r>
        <w:t xml:space="preserve">Attraverso il racconto di questi aspetti, il progetto restituisce la complessità storica del contesto sportivo e istituzionale dell’epoca.</w:t>
      </w:r>
    </w:p>
    <w:bookmarkEnd w:id="16"/>
    <w:bookmarkEnd w:id="17"/>
    <w:bookmarkStart w:id="22" w:name="section-1"/>
    <w:p>
      <w:pPr>
        <w:pStyle w:val="Heading1"/>
      </w:pPr>
    </w:p>
    <w:bookmarkStart w:id="18" w:name="destinatari"/>
    <w:p>
      <w:pPr>
        <w:pStyle w:val="Heading2"/>
      </w:pPr>
      <w:r>
        <w:t xml:space="preserve">Destinatari</w:t>
      </w:r>
    </w:p>
    <w:p>
      <w:pPr>
        <w:pStyle w:val="FirstParagraph"/>
      </w:pPr>
      <w:r>
        <w:t xml:space="preserve">Il progetto è pensato per una varietà di pubblici. Da un lato, si rivolge a studenti e docenti di storia dello sport e comunicazione, offrendo loro uno strumento di studio accademico; dall’altro, è pensato per appassionati di Olimpiadi e cultura sportiva che possano trovare nel progetto un approfondimento sull’argomento. Inoltre, il contenuto si propone come risorsa utile per istituzioni accademiche e museali, con l’intento di promuovere una maggiore conoscenza storica e culturale. Gli scenari d’uso includono consultazioni accademiche tramite PDF, letture informali su tablet o eReader e navigazione online attraverso il formato WebBook.</w:t>
      </w:r>
    </w:p>
    <w:bookmarkEnd w:id="18"/>
    <w:bookmarkStart w:id="19" w:name="modello-di-fruizione"/>
    <w:p>
      <w:pPr>
        <w:pStyle w:val="Heading2"/>
      </w:pPr>
      <w:r>
        <w:t xml:space="preserve">Modello di fruizione</w:t>
      </w:r>
    </w:p>
    <w:p>
      <w:pPr>
        <w:pStyle w:val="FirstParagraph"/>
      </w:pPr>
      <w:r>
        <w:t xml:space="preserve">Il progetto mira a offrire contenuti chiari, accessibili e compatibili con diversi dispositivi, sia online che offline. I requisiti di accettazione includono: leggibilità, navigabilità, compatibilità multipiattaforma e aderenza agli standard aperti.</w:t>
      </w:r>
    </w:p>
    <w:p>
      <w:pPr>
        <w:pStyle w:val="BodyText"/>
      </w:pPr>
      <w:r>
        <w:t xml:space="preserve">Il pubblico di riferimento — studenti, docenti e appassionati di storia dello sport — viene guidato da un modello di lettura flessibile, che consente sia una consultazione sequenziale che tematica. I formati scelti (PDF, ePub, HTML) rispondono a diverse esigenze di fruizione.</w:t>
      </w:r>
    </w:p>
    <w:p>
      <w:pPr>
        <w:pStyle w:val="BodyText"/>
      </w:pPr>
      <w:r>
        <w:t xml:space="preserve">Sono stati adottati standard aperti come ePub 3.2, schema.org e ONIX, oltre a HTML5 e CSS3 per la versione web. La qualità tecnica è assicurata da strumenti come Pandoc per la conversione e ePubCheck per la validazione.</w:t>
      </w:r>
    </w:p>
    <w:p>
      <w:pPr>
        <w:pStyle w:val="BodyText"/>
      </w:pPr>
      <w:r>
        <w:t xml:space="preserve">L’innovazione si riflette sia nei contenuti curati e strutturati tramite metadati, sia nel processo produttivo automatizzato con script Python, che migliora efficienza e coerenza tra i formati.</w:t>
      </w:r>
    </w:p>
    <w:bookmarkEnd w:id="19"/>
    <w:bookmarkStart w:id="20" w:name="canali-di-distribuzione"/>
    <w:p>
      <w:pPr>
        <w:pStyle w:val="Heading2"/>
      </w:pPr>
      <w:r>
        <w:t xml:space="preserve">Canali di distribuzione</w:t>
      </w:r>
    </w:p>
    <w:p>
      <w:pPr>
        <w:pStyle w:val="FirstParagraph"/>
      </w:pPr>
      <w:r>
        <w:t xml:space="preserve">Per quanto riguarda la distribuzione, il progetto sarà fruibile tramite diversi canali. Web accademico e repository universitari ospiteranno i contenuti, mentre i social media saranno utilizzati per la promozione. Il formato ePub sarà distribuito tramite eBook store e archivi open access, mentre il WebBook HTML5 sarà accessibile online, compatibile con browser per una lettura in modalità responsive.</w:t>
      </w:r>
    </w:p>
    <w:p>
      <w:pPr>
        <w:pStyle w:val="BodyText"/>
      </w:pPr>
      <w:r>
        <w:t xml:space="preserve">Identità visiva: il progetto adotta un design sobrio e storico, con l’uso di font serif per evocare un tono editoriale, impaginazione con margini ampi e stili CSS coerenti. Saranno inclusi elementi visivi come citazioni storiche e immagini d’archivio, sempre rispettando le leggi sul copyright.</w:t>
      </w:r>
    </w:p>
    <w:bookmarkEnd w:id="20"/>
    <w:bookmarkStart w:id="21" w:name="processo-di-produzione"/>
    <w:p>
      <w:pPr>
        <w:pStyle w:val="Heading2"/>
      </w:pPr>
      <w:r>
        <w:t xml:space="preserve">Processo di Produzione</w:t>
      </w:r>
    </w:p>
    <w:bookmarkEnd w:id="21"/>
    <w:bookmarkEnd w:id="22"/>
    <w:bookmarkStart w:id="35" w:name="section-2"/>
    <w:p>
      <w:pPr>
        <w:pStyle w:val="Heading1"/>
      </w:pPr>
    </w:p>
    <w:bookmarkStart w:id="23" w:name="acquisizione-dei-contenuti"/>
    <w:p>
      <w:pPr>
        <w:pStyle w:val="Heading2"/>
      </w:pPr>
      <w:r>
        <w:t xml:space="preserve">Acquisizione dei contenuti</w:t>
      </w:r>
    </w:p>
    <w:p>
      <w:pPr>
        <w:pStyle w:val="FirstParagraph"/>
      </w:pPr>
      <w:r>
        <w:t xml:space="preserve">Il processo di produzione ha visto l’acquisizione di documenti storici ufficiali, archivi digitali come quelli di Europeana e CIO, testimonianze d’epoca, articoli storici e interviste. La redazione dei testi descrittivi è stata effettuata in modo autonomo, con un’accurata selezione e analisi delle fonti.</w:t>
      </w:r>
      <w:r>
        <w:t xml:space="preserve"> </w:t>
      </w:r>
      <w:r>
        <w:t xml:space="preserve">Il flusso di lavoro si è sviluppato attraverso diverse fasi: dalla raccolta e selezione dei contenuti, alla scrittura in Markdown dei testi, passando per la conversione automatica in vari formati tramite Pandoc, fino all’applicazione dello stile grafico in LaTeX e CSS. Il progetto ha incluso anche una fase di validazione per assicurare la compatibilità con standard di accessibilità e una verifica della qualità del contenuto e della sintassi, assicurandosi della compatibilità su diversi dispositivi.</w:t>
      </w:r>
    </w:p>
    <w:bookmarkEnd w:id="23"/>
    <w:bookmarkStart w:id="27" w:name="gestione-documentale"/>
    <w:p>
      <w:pPr>
        <w:pStyle w:val="Heading2"/>
      </w:pPr>
      <w:r>
        <w:t xml:space="preserve">Gestione documentale</w:t>
      </w:r>
    </w:p>
    <w:p>
      <w:pPr>
        <w:pStyle w:val="FirstParagraph"/>
      </w:pPr>
      <w:r>
        <w:t xml:space="preserve">Nel progetto di gestione documentale sono state impiegate diverse tecnologie e strumenti per automatizzare il flusso di lavoro e produrre l’elaborato finale in più formati. La prima fase ha previsto la ricerca e selezione delle fonti, reperite da siti e documenti online, con particolare attenzione a contenuti disponibili gratuitamente e pertinenti al tema trattato.</w:t>
      </w:r>
    </w:p>
    <w:p>
      <w:pPr>
        <w:pStyle w:val="BodyText"/>
      </w:pPr>
      <w:r>
        <w:t xml:space="preserve">Successivamente, è stata avviata la fase operativa mediante l’uso di script Python dedicati. Con ImportoMetadatiWikipedia.py vengono estratti i metadati dalla pagina Wikipedia d’interesse. Il file generato viene poi processato con CreaSchemi.py, che permette di ottenere automaticamente schemi strutturati secondo i formati schema.org e ONIX.</w:t>
      </w:r>
    </w:p>
    <w:p>
      <w:pPr>
        <w:pStyle w:val="BodyText"/>
      </w:pPr>
      <w:r>
        <w:t xml:space="preserve">Una volta creato il documento in Markdown, sono state applicate eventuali modifiche al testo. Tramite ConvertitoreFormati.py, il file Markdown viene poi convertito nei formati pdf, ePub e HTML, importando i metadati associati. Ogni formato può infine essere rifinito singolarmente: ad esempio, il file HTML viene personalizzato tramite CSS3 e JavaScript, mentre l’ePub è stato validato con ePubCheck.</w:t>
      </w:r>
    </w:p>
    <w:p>
      <w:pPr>
        <w:pStyle w:val="BodyText"/>
      </w:pPr>
      <w:r>
        <w:t xml:space="preserve">A supporto dell’intero processo sono stati utilizzati anche Pandoc per la conversione dei formati, LaTeX per la composizione tipografica del PDF, e Git/GitHub per il versionamento e la gestione collaborativa dei file. Il risultato finale è un elaborato coerente e accessibile in più formati editoriali.</w:t>
      </w:r>
    </w:p>
    <w:p>
      <w:pPr>
        <w:pStyle w:val="CaptionedFigure"/>
      </w:pPr>
      <w:r>
        <w:drawing>
          <wp:inline>
            <wp:extent cx="5334000" cy="2305372"/>
            <wp:effectExtent b="0" l="0" r="0" t="0"/>
            <wp:docPr descr="Flowchart" title="" id="25" name="Picture"/>
            <a:graphic>
              <a:graphicData uri="http://schemas.openxmlformats.org/drawingml/2006/picture">
                <pic:pic>
                  <pic:nvPicPr>
                    <pic:cNvPr descr="images/Flowchar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Flowchart</w:t>
      </w:r>
    </w:p>
    <w:bookmarkEnd w:id="27"/>
    <w:bookmarkStart w:id="28" w:name="tecnologie-utilizzate"/>
    <w:p>
      <w:pPr>
        <w:pStyle w:val="Heading2"/>
      </w:pPr>
      <w:r>
        <w:t xml:space="preserve">Tecnologie utilizzate</w:t>
      </w:r>
    </w:p>
    <w:p>
      <w:pPr>
        <w:pStyle w:val="FirstParagraph"/>
      </w:pPr>
      <w:r>
        <w:t xml:space="preserve">Per realizzare il progetto sono state utilizzate diverse tecnologie e strumenti. A livello di linguaggi, si è partiti da Markdown, un linguaggio di markup semplice ed efficace per la documentazione di base, affiancato da HTML5 per la struttura delle pagine web e da CSS3 per la personalizzazione dell’estetica.</w:t>
      </w:r>
    </w:p>
    <w:p>
      <w:pPr>
        <w:pStyle w:val="BodyText"/>
      </w:pPr>
      <w:r>
        <w:t xml:space="preserve">Per la gestione e conversione dei formati è stato utilizzato Pandoc, insieme a LaTeX per l’impaginazione avanzata e la produzione in PDF, ed ePubCheck per la validazione del formato ePub, uno degli output finali del progetto. Inoltre, sono stati impiegati Git e GitHub per il controllo di versione e la collaborazione sul codice.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3394"/>
        <w:gridCol w:w="33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Formato</w:t>
            </w:r>
          </w:p>
        </w:tc>
        <w:tc>
          <w:tcPr/>
          <w:p>
            <w:pPr>
              <w:pStyle w:val="Compact"/>
            </w:pPr>
            <w:r>
              <w:t xml:space="preserve">Scenario 1</w:t>
            </w:r>
          </w:p>
        </w:tc>
        <w:tc>
          <w:tcPr/>
          <w:p>
            <w:pPr>
              <w:pStyle w:val="Compact"/>
            </w:pPr>
            <w:r>
              <w:t xml:space="preserve">Scenario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Markdown</w:t>
            </w:r>
          </w:p>
        </w:tc>
        <w:tc>
          <w:tcPr/>
          <w:p>
            <w:pPr>
              <w:pStyle w:val="Compact"/>
            </w:pPr>
            <w:r>
              <w:t xml:space="preserve">‘Isn’t this fun?’</w:t>
            </w:r>
          </w:p>
        </w:tc>
        <w:tc>
          <w:tcPr/>
          <w:p>
            <w:pPr>
              <w:pStyle w:val="Compact"/>
            </w:pPr>
            <w:r>
              <w:t xml:space="preserve">‘Isn’t this fun?’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XSLT</w:t>
            </w:r>
          </w:p>
        </w:tc>
        <w:tc>
          <w:tcPr/>
          <w:p>
            <w:pPr>
              <w:pStyle w:val="Compact"/>
            </w:pPr>
            <w:r>
              <w:t xml:space="preserve">“Isn’t this fun?”</w:t>
            </w:r>
          </w:p>
        </w:tc>
        <w:tc>
          <w:tcPr/>
          <w:p>
            <w:pPr>
              <w:pStyle w:val="Compact"/>
            </w:pPr>
            <w:r>
              <w:t xml:space="preserve">“Isn’t this fun?”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ePub</w:t>
            </w:r>
          </w:p>
        </w:tc>
        <w:tc>
          <w:tcPr/>
          <w:p>
            <w:pPr>
              <w:pStyle w:val="Compact"/>
            </w:pPr>
            <w:r>
              <w:t xml:space="preserve">– is en-dash, — is em-dash</w:t>
            </w:r>
          </w:p>
        </w:tc>
        <w:tc>
          <w:tcPr/>
          <w:p>
            <w:pPr>
              <w:pStyle w:val="Compact"/>
            </w:pPr>
            <w:r>
              <w:t xml:space="preserve">– is en-dash, — is em-dash</w:t>
            </w:r>
          </w:p>
        </w:tc>
      </w:tr>
    </w:tbl>
    <w:bookmarkEnd w:id="28"/>
    <w:bookmarkStart w:id="29" w:name="esecuzione-del-flusso"/>
    <w:p>
      <w:pPr>
        <w:pStyle w:val="Heading2"/>
      </w:pPr>
      <w:r>
        <w:t xml:space="preserve">Esecuzione del flusso</w:t>
      </w:r>
    </w:p>
    <w:p>
      <w:pPr>
        <w:pStyle w:val="FirstParagraph"/>
      </w:pPr>
      <w:r>
        <w:t xml:space="preserve">Il flusso di lavoro è stato gestito in modo da garantire la ripetibilità del processo. I file sorgenti e le configurazioni sono stati documentati in un repository privato, e gli output sono stati generati in tre formati principali. Ogni fase del processo è stata automatizzata tramite script, rendendo l’intero flusso replicabile in futuro.</w:t>
      </w:r>
    </w:p>
    <w:bookmarkEnd w:id="29"/>
    <w:bookmarkStart w:id="30" w:name="valutazione-dei-risultati-raggiunti"/>
    <w:p>
      <w:pPr>
        <w:pStyle w:val="Heading2"/>
      </w:pPr>
      <w:r>
        <w:t xml:space="preserve">Valutazione dei risultati raggiunti</w:t>
      </w:r>
    </w:p>
    <w:p>
      <w:pPr>
        <w:pStyle w:val="FirstParagraph"/>
      </w:pPr>
      <w:r>
        <w:t xml:space="preserve">Il progetto ha raggiunto risultati significativi. Innanzitutto, sono stati ridotti i tempi di impaginazione grazie all’automazione. Inoltre, la qualità editoriale è migliorata notevolmente, specialmente nei formati PDF ed ePub. L’accessibilità e la fruibilità del contenuto sono state ottimizzate, grazie alla creazione di un WebBook responsive. Infine, il progetto ha soddisfatto diverse necessità d’uso, spaziando dalla consultazione accademica alla lettura divulgativa.</w:t>
      </w:r>
    </w:p>
    <w:bookmarkEnd w:id="30"/>
    <w:bookmarkStart w:id="31" w:name="confronto-con-lo-stato-dellarte"/>
    <w:p>
      <w:pPr>
        <w:pStyle w:val="Heading2"/>
      </w:pPr>
      <w:r>
        <w:t xml:space="preserve">Confronto con lo stato dell’arte</w:t>
      </w:r>
    </w:p>
    <w:p>
      <w:pPr>
        <w:pStyle w:val="FirstParagraph"/>
      </w:pPr>
      <w:r>
        <w:t xml:space="preserve">Rispetto agli approcci tradizionali di documenti distribuiti esclusivamente in PDF statici, il progetto ha introdotto un approccio modulare e multiformato, migliorando notevolmente l’esperienza utente. La possibilità di aggiornare facilmente i contenuti e la compatibilità con standard aperti ha garantito una maggiore interoperabilità e ridotto l’obsolescenza del materiale.</w:t>
      </w:r>
    </w:p>
    <w:bookmarkEnd w:id="31"/>
    <w:bookmarkStart w:id="32" w:name="limiti-emersi"/>
    <w:p>
      <w:pPr>
        <w:pStyle w:val="Heading2"/>
      </w:pPr>
      <w:r>
        <w:t xml:space="preserve">Limiti emersi</w:t>
      </w:r>
    </w:p>
    <w:p>
      <w:pPr>
        <w:pStyle w:val="FirstParagraph"/>
      </w:pPr>
      <w:r>
        <w:t xml:space="preserve">Non sono mancati i limiti. Un primo ostacolo è stato il reperimento di immagini storiche con licenze compatibili. Inoltre, la rigidità del layout negli ePub ha reso difficile adattare contenuti complessi. Infine, è stato necessario un maggior testing per compatibilità browser e dispositivi per assicurare un’esperienza utente fluida su tutte le piattaforme.</w:t>
      </w:r>
    </w:p>
    <w:bookmarkEnd w:id="32"/>
    <w:bookmarkStart w:id="33" w:name="conclusioni"/>
    <w:p>
      <w:pPr>
        <w:pStyle w:val="Heading2"/>
      </w:pPr>
      <w:r>
        <w:t xml:space="preserve">Conclusioni</w:t>
      </w:r>
    </w:p>
    <w:p>
      <w:pPr>
        <w:pStyle w:val="FirstParagraph"/>
      </w:pPr>
      <w:r>
        <w:t xml:space="preserve">Il progetto ha raggiunto l’obiettivo di creare un prodotto editoriale digitale solido, fruibile e accessibile, che racconta in modo innovativo un evento storico poco conosciuto. Il contenuto è ora adattabile e riutilizzabile in vari contesti, dimostrando le potenzialità dell’editoria digitale anche nel campo delle scienze umane.</w:t>
      </w:r>
    </w:p>
    <w:bookmarkEnd w:id="33"/>
    <w:bookmarkStart w:id="34" w:name="bibliografia"/>
    <w:p>
      <w:pPr>
        <w:pStyle w:val="Heading2"/>
      </w:pPr>
      <w:r>
        <w:t xml:space="preserve">Bibliografia</w:t>
      </w:r>
    </w:p>
    <w:p>
      <w:pPr>
        <w:pStyle w:val="FirstParagraph"/>
      </w:pPr>
      <w:r>
        <w:t xml:space="preserve">-Giochi della II Olimpiade - https://bit.ly/3FMBcJM</w:t>
      </w:r>
    </w:p>
    <w:p>
      <w:pPr>
        <w:pStyle w:val="BodyText"/>
      </w:pPr>
      <w:r>
        <w:t xml:space="preserve">-Organizzazione della II Olimpiade - https://bit.ly/3ZpSN0O</w:t>
      </w:r>
    </w:p>
    <w:p>
      <w:pPr>
        <w:pStyle w:val="BodyText"/>
      </w:pPr>
      <w:r>
        <w:t xml:space="preserve">-Margaret Abbott - https://bit.ly/4jFmySs</w:t>
      </w:r>
    </w:p>
    <w:p>
      <w:pPr>
        <w:pStyle w:val="BodyText"/>
      </w:pPr>
      <w:r>
        <w:t xml:space="preserve">-Historic Sports Equipment Collection - https://bit.ly/4kBPo7I</w:t>
      </w:r>
    </w:p>
    <w:p>
      <w:pPr>
        <w:pStyle w:val="BodyText"/>
      </w:pPr>
      <w:r>
        <w:t xml:space="preserve">-Newspaper article on 1924 Olympic Games - https://bit.ly/4kvB0O5</w:t>
      </w:r>
    </w:p>
    <w:p>
      <w:pPr>
        <w:pStyle w:val="BodyText"/>
      </w:pPr>
      <w:r>
        <w:t xml:space="preserve">-Interview with Famous Athlete from 1950s - https://bit.ly/3HwP5we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4" Target="media/rId24.png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2025-06-09T22:08:19Z</dcterms:created>
  <dcterms:modified xsi:type="dcterms:W3CDTF">2025-06-09T22:08:19Z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