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8A3803" w14:textId="0EC86B78" w:rsidR="00350B09" w:rsidRDefault="00806980">
      <w:pPr>
        <w:rPr>
          <w:b/>
          <w:bCs/>
          <w:lang w:val="pt-PT"/>
        </w:rPr>
      </w:pPr>
      <w:r>
        <w:rPr>
          <w:b/>
          <w:bCs/>
          <w:lang w:val="pt-PT"/>
        </w:rPr>
        <w:t>EXERCISE 3</w:t>
      </w:r>
    </w:p>
    <w:p w14:paraId="39CF8501" w14:textId="77777777" w:rsidR="000566E1" w:rsidRDefault="000566E1">
      <w:pPr>
        <w:rPr>
          <w:b/>
          <w:bCs/>
          <w:lang w:val="pt-PT"/>
        </w:rPr>
      </w:pPr>
    </w:p>
    <w:p w14:paraId="1F9D9E09" w14:textId="29487184" w:rsidR="00B425E1" w:rsidRPr="00C6358A" w:rsidRDefault="00995D74">
      <w:pPr>
        <w:rPr>
          <w:b/>
          <w:bCs/>
          <w:lang w:val="pt-PT"/>
        </w:rPr>
      </w:pPr>
      <w:r>
        <w:rPr>
          <w:b/>
          <w:bCs/>
          <w:lang w:val="pt-PT"/>
        </w:rPr>
        <w:tab/>
        <w:t>3a)</w:t>
      </w:r>
    </w:p>
    <w:p w14:paraId="1FE7BE10" w14:textId="0170FF92" w:rsidR="00D3221E" w:rsidRDefault="00D3221E" w:rsidP="00C90BB7">
      <w:r w:rsidRPr="00D3221E">
        <w:rPr>
          <w:noProof/>
        </w:rPr>
        <w:drawing>
          <wp:inline distT="0" distB="0" distL="0" distR="0" wp14:anchorId="7BE7D324" wp14:editId="0D925362">
            <wp:extent cx="2476500" cy="7109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6295" cy="72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36EA" w14:textId="39BF4BC9" w:rsidR="00D3221E" w:rsidRDefault="00D3221E" w:rsidP="00C90BB7"/>
    <w:p w14:paraId="7ACB21FA" w14:textId="2163321E" w:rsidR="00D3221E" w:rsidRDefault="00D3221E" w:rsidP="00C90BB7">
      <w:r>
        <w:t>I = 1,2,3,4</w:t>
      </w:r>
    </w:p>
    <w:p w14:paraId="0A62B98B" w14:textId="77777777" w:rsidR="00C90BB7" w:rsidRDefault="00C90BB7" w:rsidP="00C90BB7"/>
    <w:p w14:paraId="4B74D17A" w14:textId="3F095EB0" w:rsidR="00806980" w:rsidRDefault="003B060B" w:rsidP="00806980">
      <w:pPr>
        <w:ind w:firstLine="720"/>
        <w:rPr>
          <w:b/>
          <w:bCs/>
          <w:lang w:val="pt-PT"/>
        </w:rPr>
      </w:pPr>
      <w:r>
        <w:rPr>
          <w:b/>
          <w:bCs/>
          <w:lang w:val="pt-PT"/>
        </w:rPr>
        <w:t>3</w:t>
      </w:r>
      <w:r w:rsidR="00806980">
        <w:rPr>
          <w:b/>
          <w:bCs/>
          <w:lang w:val="pt-PT"/>
        </w:rPr>
        <w:t>b)</w:t>
      </w:r>
    </w:p>
    <w:p w14:paraId="6ECC3743" w14:textId="3DB017FB" w:rsidR="007849AF" w:rsidRDefault="00806980" w:rsidP="000B3277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Garamond" w:hAnsi="Garamond"/>
          <w:sz w:val="20"/>
          <w:szCs w:val="20"/>
        </w:rPr>
      </w:pPr>
      <w:r>
        <w:rPr>
          <w:b/>
          <w:bCs/>
          <w:lang w:val="pt-PT"/>
        </w:rPr>
        <w:t xml:space="preserve"> </w:t>
      </w:r>
      <w:r w:rsidR="007849AF">
        <w:rPr>
          <w:rFonts w:ascii="Garamond" w:hAnsi="Garamond"/>
          <w:b/>
          <w:bCs/>
          <w:sz w:val="20"/>
          <w:szCs w:val="20"/>
        </w:rPr>
        <w:br/>
        <w:t xml:space="preserve">Summary statistics: N mean </w:t>
      </w:r>
      <w:proofErr w:type="spellStart"/>
      <w:r w:rsidR="007849AF">
        <w:rPr>
          <w:rFonts w:ascii="Garamond" w:hAnsi="Garamond"/>
          <w:b/>
          <w:bCs/>
          <w:sz w:val="20"/>
          <w:szCs w:val="20"/>
        </w:rPr>
        <w:t>sd</w:t>
      </w:r>
      <w:proofErr w:type="spellEnd"/>
      <w:r w:rsidR="007849AF">
        <w:rPr>
          <w:rFonts w:ascii="Garamond" w:hAnsi="Garamond"/>
          <w:b/>
          <w:bCs/>
          <w:sz w:val="20"/>
          <w:szCs w:val="20"/>
        </w:rPr>
        <w:t xml:space="preserve"> min max by(</w:t>
      </w:r>
      <w:proofErr w:type="spellStart"/>
      <w:r w:rsidR="007849AF">
        <w:rPr>
          <w:rFonts w:ascii="Garamond" w:hAnsi="Garamond"/>
          <w:b/>
          <w:bCs/>
          <w:sz w:val="20"/>
          <w:szCs w:val="20"/>
        </w:rPr>
        <w:t>mode_travel</w:t>
      </w:r>
      <w:proofErr w:type="spellEnd"/>
      <w:r w:rsidR="007849AF">
        <w:rPr>
          <w:rFonts w:ascii="Garamond" w:hAnsi="Garamond"/>
          <w:b/>
          <w:bCs/>
          <w:sz w:val="20"/>
          <w:szCs w:val="20"/>
        </w:rPr>
        <w:t xml:space="preserve">) </w:t>
      </w:r>
      <w:r w:rsidR="007849AF">
        <w:rPr>
          <w:rFonts w:ascii="Garamond" w:hAnsi="Garamond"/>
          <w:b/>
          <w:bCs/>
          <w:sz w:val="20"/>
          <w:szCs w:val="20"/>
        </w:rPr>
        <w:br/>
        <w:t xml:space="preserve">MODE_TRAVEL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08"/>
        <w:gridCol w:w="1250"/>
        <w:gridCol w:w="1250"/>
        <w:gridCol w:w="1250"/>
        <w:gridCol w:w="1250"/>
        <w:gridCol w:w="1250"/>
      </w:tblGrid>
      <w:tr w:rsidR="007849AF" w14:paraId="472425E1" w14:textId="77777777" w:rsidTr="0073004A">
        <w:tc>
          <w:tcPr>
            <w:tcW w:w="1208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B70F4AF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80"/>
              <w:jc w:val="lef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2767B46B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N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5081345A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mean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7C2457A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42F0188F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min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10" w:space="0" w:color="auto"/>
              <w:right w:val="nil"/>
            </w:tcBorders>
          </w:tcPr>
          <w:p w14:paraId="0FEB0B7B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 max</w:t>
            </w:r>
          </w:p>
        </w:tc>
      </w:tr>
      <w:tr w:rsidR="007849AF" w14:paraId="3B42494D" w14:textId="77777777" w:rsidTr="0073004A"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50CE0B6B" w14:textId="77777777" w:rsidR="007849AF" w:rsidRPr="000A6038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b/>
                <w:bCs/>
                <w:sz w:val="20"/>
                <w:szCs w:val="20"/>
              </w:rPr>
            </w:pPr>
            <w:r>
              <w:rPr>
                <w:rFonts w:ascii="Garamond" w:hAnsi="Garamond"/>
                <w:b/>
                <w:bCs/>
                <w:sz w:val="20"/>
                <w:szCs w:val="20"/>
              </w:rPr>
              <w:t>AIR</w:t>
            </w:r>
          </w:p>
          <w:p w14:paraId="0B98EA2E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gc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45CA62E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  <w:p w14:paraId="715FE06A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6313B12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  <w:p w14:paraId="29B3DF0F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102.648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480FACB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  <w:p w14:paraId="13222E5E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30.575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1597FED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  <w:p w14:paraId="018D6E49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56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9CC8910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</w:p>
          <w:p w14:paraId="26B2FA8A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197</w:t>
            </w:r>
          </w:p>
        </w:tc>
      </w:tr>
      <w:tr w:rsidR="007849AF" w14:paraId="7CE077ED" w14:textId="77777777" w:rsidTr="0073004A"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7902E3E7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ttme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EEDFDAA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B296091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61.01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D6A4D40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15.719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2228165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CABDD0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99</w:t>
            </w:r>
          </w:p>
        </w:tc>
      </w:tr>
      <w:tr w:rsidR="007849AF" w14:paraId="6F126ED7" w14:textId="77777777" w:rsidTr="0073004A"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A65CC1B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hinc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E540F23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D577B3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34.548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5DDA87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19.711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4955858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6ADFA5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72</w:t>
            </w:r>
          </w:p>
        </w:tc>
      </w:tr>
    </w:tbl>
    <w:p w14:paraId="31332D43" w14:textId="77777777" w:rsidR="007849AF" w:rsidRDefault="007849AF" w:rsidP="007849AF">
      <w:pPr>
        <w:widowControl w:val="0"/>
        <w:autoSpaceDE w:val="0"/>
        <w:autoSpaceDN w:val="0"/>
        <w:adjustRightInd w:val="0"/>
        <w:spacing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BUS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08"/>
        <w:gridCol w:w="1250"/>
        <w:gridCol w:w="1250"/>
        <w:gridCol w:w="1250"/>
        <w:gridCol w:w="1250"/>
        <w:gridCol w:w="1250"/>
      </w:tblGrid>
      <w:tr w:rsidR="007849AF" w14:paraId="5D26A61E" w14:textId="77777777" w:rsidTr="0073004A"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135C2042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gc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04E514D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791E231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115.257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629F6F3B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44.934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97B06D3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FC17EB5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222</w:t>
            </w:r>
          </w:p>
        </w:tc>
      </w:tr>
      <w:tr w:rsidR="007849AF" w14:paraId="6671E2C2" w14:textId="77777777" w:rsidTr="0073004A"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2EBFA7DD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ttme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9979065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68B34A2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41.657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56ED855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12.077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86E1889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B009B9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60</w:t>
            </w:r>
          </w:p>
        </w:tc>
      </w:tr>
      <w:tr w:rsidR="007849AF" w14:paraId="38E09293" w14:textId="77777777" w:rsidTr="0073004A"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A1523B0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hinc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806F067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D41749D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34.548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2372AA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19.711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F2D679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C1ABD64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72</w:t>
            </w:r>
          </w:p>
        </w:tc>
      </w:tr>
    </w:tbl>
    <w:p w14:paraId="1A63E4CD" w14:textId="77777777" w:rsidR="007849AF" w:rsidRDefault="007849AF" w:rsidP="007849AF">
      <w:pPr>
        <w:widowControl w:val="0"/>
        <w:autoSpaceDE w:val="0"/>
        <w:autoSpaceDN w:val="0"/>
        <w:adjustRightInd w:val="0"/>
        <w:spacing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CAR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08"/>
        <w:gridCol w:w="1250"/>
        <w:gridCol w:w="1250"/>
        <w:gridCol w:w="1250"/>
        <w:gridCol w:w="1250"/>
        <w:gridCol w:w="1250"/>
      </w:tblGrid>
      <w:tr w:rsidR="007849AF" w14:paraId="4EB07255" w14:textId="77777777" w:rsidTr="0073004A"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054D4652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gc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8F73F6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A605260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95.414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C44F494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46.827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C67D6F3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6AE1034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238</w:t>
            </w:r>
          </w:p>
        </w:tc>
      </w:tr>
      <w:tr w:rsidR="007849AF" w14:paraId="30F9D835" w14:textId="77777777" w:rsidTr="0073004A"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621EFFBE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ttme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A460632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B6894C3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61FEC90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1C2FD1F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0755992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</w:t>
            </w:r>
          </w:p>
        </w:tc>
      </w:tr>
      <w:tr w:rsidR="007849AF" w14:paraId="14FC91D3" w14:textId="77777777" w:rsidTr="0073004A"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E83C7F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hinc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765D847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26C887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34.548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FE7A761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19.711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50D00E5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EE7FDB3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72</w:t>
            </w:r>
          </w:p>
        </w:tc>
      </w:tr>
    </w:tbl>
    <w:p w14:paraId="3872FE4E" w14:textId="77777777" w:rsidR="007849AF" w:rsidRDefault="007849AF" w:rsidP="007849AF">
      <w:pPr>
        <w:widowControl w:val="0"/>
        <w:autoSpaceDE w:val="0"/>
        <w:autoSpaceDN w:val="0"/>
        <w:adjustRightInd w:val="0"/>
        <w:spacing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TRAIN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08"/>
        <w:gridCol w:w="1250"/>
        <w:gridCol w:w="1250"/>
        <w:gridCol w:w="1250"/>
        <w:gridCol w:w="1250"/>
        <w:gridCol w:w="1250"/>
      </w:tblGrid>
      <w:tr w:rsidR="007849AF" w14:paraId="17EDDBF6" w14:textId="77777777" w:rsidTr="0073004A"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2E92C816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gc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5012ADFC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7A98D03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130.2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3E939E95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58.235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40378296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C9980C5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269</w:t>
            </w:r>
          </w:p>
        </w:tc>
      </w:tr>
      <w:tr w:rsidR="007849AF" w14:paraId="1793868D" w14:textId="77777777" w:rsidTr="0073004A"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</w:tcPr>
          <w:p w14:paraId="1B1C3068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ttme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2379B690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210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F5D6F4F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35.69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0E83D7A2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12.279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72F42296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14:paraId="1ADFD24D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99</w:t>
            </w:r>
          </w:p>
        </w:tc>
      </w:tr>
      <w:tr w:rsidR="007849AF" w14:paraId="5DE115A7" w14:textId="77777777" w:rsidTr="0073004A"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19D9A01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hinc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29D67A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210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E15F669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34.548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B9B1028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19.711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C7ABAA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511907F" w14:textId="77777777" w:rsidR="007849AF" w:rsidRDefault="007849AF" w:rsidP="0073004A">
            <w:pPr>
              <w:widowControl w:val="0"/>
              <w:autoSpaceDE w:val="0"/>
              <w:autoSpaceDN w:val="0"/>
              <w:adjustRightInd w:val="0"/>
              <w:spacing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72</w:t>
            </w:r>
          </w:p>
        </w:tc>
      </w:tr>
    </w:tbl>
    <w:p w14:paraId="0E6FC9EF" w14:textId="01DFF6C4" w:rsidR="00806980" w:rsidRDefault="00806980" w:rsidP="00806980">
      <w:pPr>
        <w:rPr>
          <w:b/>
          <w:bCs/>
          <w:lang w:val="pt-PT"/>
        </w:rPr>
      </w:pPr>
    </w:p>
    <w:p w14:paraId="3ED8ABD7" w14:textId="6079FFFE" w:rsidR="000F7147" w:rsidRDefault="000F7147" w:rsidP="00806980">
      <w:pPr>
        <w:rPr>
          <w:b/>
          <w:bCs/>
          <w:lang w:val="pt-PT"/>
        </w:rPr>
      </w:pPr>
    </w:p>
    <w:p w14:paraId="435E9A4D" w14:textId="2266CE18" w:rsidR="000F7147" w:rsidRDefault="000F7147" w:rsidP="00806980">
      <w:pPr>
        <w:rPr>
          <w:b/>
          <w:bCs/>
          <w:lang w:val="pt-PT"/>
        </w:rPr>
      </w:pPr>
      <w:r>
        <w:rPr>
          <w:b/>
          <w:bCs/>
          <w:lang w:val="pt-PT"/>
        </w:rPr>
        <w:tab/>
      </w:r>
      <w:r w:rsidR="003B060B">
        <w:rPr>
          <w:b/>
          <w:bCs/>
          <w:lang w:val="pt-PT"/>
        </w:rPr>
        <w:t>3</w:t>
      </w:r>
      <w:r>
        <w:rPr>
          <w:b/>
          <w:bCs/>
          <w:lang w:val="pt-PT"/>
        </w:rPr>
        <w:t>c)</w:t>
      </w:r>
    </w:p>
    <w:p w14:paraId="1D0E5B23" w14:textId="5CB9EA22" w:rsidR="000F7147" w:rsidRDefault="00CE7E48" w:rsidP="00806980">
      <w:pPr>
        <w:rPr>
          <w:rFonts w:eastAsiaTheme="minorEastAsia"/>
        </w:rPr>
      </w:pPr>
      <w:r w:rsidRPr="007947E2">
        <w:t>According to the model, the co</w:t>
      </w:r>
      <w:r w:rsidR="007947E2" w:rsidRPr="007947E2">
        <w:t>efficient</w:t>
      </w:r>
      <w:r w:rsidRPr="007947E2">
        <w:t xml:space="preserve"> associated with </w:t>
      </w:r>
      <m:oMath>
        <m:r>
          <w:rPr>
            <w:rFonts w:ascii="Cambria Math" w:hAnsi="Cambria Math"/>
          </w:rPr>
          <m:t>hin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60EC7" w:rsidRPr="007947E2">
        <w:rPr>
          <w:rFonts w:eastAsiaTheme="minorEastAsia"/>
        </w:rPr>
        <w:t xml:space="preserve"> </w:t>
      </w:r>
      <w:r w:rsidR="00660EC7" w:rsidRPr="007947E2">
        <w:rPr>
          <w:rFonts w:eastAsiaTheme="minorEastAsia"/>
          <w:i/>
          <w:iCs/>
        </w:rPr>
        <w:t xml:space="preserve"> </w:t>
      </w:r>
      <w:r w:rsidR="0008682C" w:rsidRPr="007947E2">
        <w:rPr>
          <w:rFonts w:eastAsiaTheme="minorEastAsia"/>
        </w:rPr>
        <w:t xml:space="preserve">corresponds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7E7A67" w:rsidRPr="007947E2">
        <w:rPr>
          <w:rFonts w:eastAsiaTheme="minorEastAsia"/>
        </w:rPr>
        <w:t>. On our STATA output, this corresponds to the coefficient on the 2</w:t>
      </w:r>
      <w:r w:rsidR="007E7A67" w:rsidRPr="007947E2">
        <w:rPr>
          <w:rFonts w:eastAsiaTheme="minorEastAsia"/>
          <w:vertAlign w:val="superscript"/>
        </w:rPr>
        <w:t>nd</w:t>
      </w:r>
      <w:r w:rsidR="007E7A67" w:rsidRPr="007947E2">
        <w:rPr>
          <w:rFonts w:eastAsiaTheme="minorEastAsia"/>
        </w:rPr>
        <w:t xml:space="preserve"> row (AIR)</w:t>
      </w:r>
      <w:r w:rsidR="007947E2" w:rsidRPr="007947E2">
        <w:rPr>
          <w:rFonts w:eastAsiaTheme="minorEastAsia"/>
        </w:rPr>
        <w:t xml:space="preserve">, associated with </w:t>
      </w:r>
      <w:proofErr w:type="spellStart"/>
      <w:r w:rsidR="007947E2" w:rsidRPr="007947E2">
        <w:rPr>
          <w:rFonts w:eastAsiaTheme="minorEastAsia"/>
          <w:i/>
          <w:iCs/>
        </w:rPr>
        <w:t>hinc</w:t>
      </w:r>
      <w:proofErr w:type="spellEnd"/>
      <w:r w:rsidR="007947E2">
        <w:rPr>
          <w:rFonts w:eastAsiaTheme="minorEastAsia"/>
        </w:rPr>
        <w:t>.</w:t>
      </w:r>
    </w:p>
    <w:p w14:paraId="4633B129" w14:textId="0DC25354" w:rsidR="00F72556" w:rsidRDefault="00E42FFA" w:rsidP="00806980">
      <w:pPr>
        <w:rPr>
          <w:rFonts w:eastAsiaTheme="minorEastAsia"/>
        </w:rPr>
      </w:pPr>
      <w:r>
        <w:rPr>
          <w:rFonts w:eastAsiaTheme="minorEastAsia"/>
        </w:rPr>
        <w:t xml:space="preserve">From </w:t>
      </w:r>
      <w:r w:rsidR="00776AFD">
        <w:rPr>
          <w:rFonts w:eastAsiaTheme="minorEastAsia"/>
        </w:rPr>
        <w:t xml:space="preserve">the class materials, we can see that, in principle, only </w:t>
      </w:r>
      <w:r w:rsidR="005F0541">
        <w:rPr>
          <w:rFonts w:eastAsiaTheme="minorEastAsia"/>
        </w:rPr>
        <w:t xml:space="preserve">the signs for “alternative-varying” regressors </w:t>
      </w:r>
      <w:r w:rsidR="003E2534">
        <w:rPr>
          <w:rFonts w:eastAsiaTheme="minorEastAsia"/>
        </w:rPr>
        <w:t>are</w:t>
      </w:r>
      <w:r w:rsidR="006735D7">
        <w:rPr>
          <w:rFonts w:eastAsiaTheme="minorEastAsia"/>
        </w:rPr>
        <w:t xml:space="preserve"> directly interpretable.</w:t>
      </w:r>
      <w:r w:rsidR="009156FF">
        <w:rPr>
          <w:rFonts w:eastAsiaTheme="minorEastAsia"/>
        </w:rPr>
        <w:t xml:space="preserve"> </w:t>
      </w:r>
      <w:proofErr w:type="spellStart"/>
      <w:r w:rsidR="009156FF">
        <w:rPr>
          <w:rFonts w:eastAsiaTheme="minorEastAsia"/>
          <w:i/>
          <w:iCs/>
        </w:rPr>
        <w:t>hinc</w:t>
      </w:r>
      <w:proofErr w:type="spellEnd"/>
      <w:r w:rsidR="009156FF">
        <w:rPr>
          <w:rFonts w:eastAsiaTheme="minorEastAsia"/>
          <w:i/>
          <w:iCs/>
        </w:rPr>
        <w:t xml:space="preserve"> </w:t>
      </w:r>
      <w:r w:rsidR="009156FF">
        <w:rPr>
          <w:rFonts w:eastAsiaTheme="minorEastAsia"/>
        </w:rPr>
        <w:t xml:space="preserve">is an “alternative-invariant regressor” i.e. it </w:t>
      </w:r>
      <w:r w:rsidR="0002485A">
        <w:rPr>
          <w:rFonts w:eastAsiaTheme="minorEastAsia"/>
        </w:rPr>
        <w:t xml:space="preserve">only varies by individual and not by </w:t>
      </w:r>
      <w:r w:rsidR="00F72556">
        <w:rPr>
          <w:rFonts w:eastAsiaTheme="minorEastAsia"/>
        </w:rPr>
        <w:t>alternative.</w:t>
      </w:r>
    </w:p>
    <w:p w14:paraId="3BA209BE" w14:textId="4B0629AA" w:rsidR="00A03DF1" w:rsidRDefault="00F820DD" w:rsidP="00806980">
      <w:pPr>
        <w:rPr>
          <w:rFonts w:eastAsiaTheme="minorEastAsia"/>
        </w:rPr>
      </w:pPr>
      <w:r>
        <w:rPr>
          <w:rFonts w:eastAsiaTheme="minorEastAsia"/>
        </w:rPr>
        <w:t>As such, I would say th</w:t>
      </w:r>
      <w:r w:rsidR="00E12834">
        <w:rPr>
          <w:rFonts w:eastAsiaTheme="minorEastAsia"/>
        </w:rPr>
        <w:t xml:space="preserve">ere is no direct interpretation possible for the coefficient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γ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E12834">
        <w:rPr>
          <w:rFonts w:eastAsiaTheme="minorEastAsia"/>
        </w:rPr>
        <w:t>.</w:t>
      </w:r>
    </w:p>
    <w:p w14:paraId="46794629" w14:textId="0D24E6B0" w:rsidR="00E44BAF" w:rsidRDefault="00E44BAF" w:rsidP="00806980">
      <w:pPr>
        <w:rPr>
          <w:rFonts w:eastAsiaTheme="minorEastAsia"/>
        </w:rPr>
      </w:pPr>
      <w:r>
        <w:rPr>
          <w:rFonts w:eastAsiaTheme="minorEastAsia"/>
        </w:rPr>
        <w:lastRenderedPageBreak/>
        <w:t>Marginal e</w:t>
      </w:r>
      <w:r w:rsidR="004C638F">
        <w:rPr>
          <w:rFonts w:eastAsiaTheme="minorEastAsia"/>
        </w:rPr>
        <w:t xml:space="preserve">ffect calculation and interpretation is possible, but as question 3e) asks exactly that, </w:t>
      </w:r>
      <w:r w:rsidR="00E51B32">
        <w:rPr>
          <w:rFonts w:eastAsiaTheme="minorEastAsia"/>
        </w:rPr>
        <w:t>we are assuming that there is no further explanation required here.</w:t>
      </w:r>
    </w:p>
    <w:p w14:paraId="01C910AC" w14:textId="199148EA" w:rsidR="00154E83" w:rsidRDefault="00154E83" w:rsidP="00806980">
      <w:pPr>
        <w:rPr>
          <w:rFonts w:eastAsiaTheme="minorEastAsia"/>
        </w:rPr>
      </w:pPr>
    </w:p>
    <w:p w14:paraId="75A6F5D9" w14:textId="760D0A39" w:rsidR="00154E83" w:rsidRDefault="00154E83" w:rsidP="0080698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 w:rsidR="003B060B">
        <w:rPr>
          <w:rFonts w:eastAsiaTheme="minorEastAsia"/>
          <w:b/>
          <w:bCs/>
        </w:rPr>
        <w:t>3</w:t>
      </w:r>
      <w:r>
        <w:rPr>
          <w:rFonts w:eastAsiaTheme="minorEastAsia"/>
          <w:b/>
          <w:bCs/>
        </w:rPr>
        <w:t>d)</w:t>
      </w:r>
    </w:p>
    <w:p w14:paraId="6EB69EAD" w14:textId="57951B07" w:rsidR="00154E83" w:rsidRDefault="00F2173E" w:rsidP="00806980">
      <w:pPr>
        <w:rPr>
          <w:rFonts w:eastAsiaTheme="minorEastAsia"/>
        </w:rPr>
      </w:pPr>
      <w:r>
        <w:rPr>
          <w:rFonts w:eastAsiaTheme="minorEastAsia"/>
        </w:rPr>
        <w:t>We can see that</w:t>
      </w:r>
      <w:r w:rsidR="000D35F7">
        <w:rPr>
          <w:rFonts w:eastAsiaTheme="minorEastAsia"/>
        </w:rPr>
        <w:t xml:space="preserve"> the relative frequencies</w:t>
      </w:r>
      <w:r w:rsidR="00EF0816">
        <w:rPr>
          <w:rFonts w:eastAsiaTheme="minorEastAsia"/>
        </w:rPr>
        <w:t xml:space="preserve"> of the choice of travel</w:t>
      </w:r>
      <w:r w:rsidR="000D35F7">
        <w:rPr>
          <w:rFonts w:eastAsiaTheme="minorEastAsia"/>
        </w:rPr>
        <w:t xml:space="preserve"> and the </w:t>
      </w:r>
      <w:r w:rsidR="006A07BD">
        <w:rPr>
          <w:rFonts w:eastAsiaTheme="minorEastAsia"/>
        </w:rPr>
        <w:t>predicted probabilities are very close to each other</w:t>
      </w:r>
      <w:r w:rsidR="007C6C7F">
        <w:rPr>
          <w:rFonts w:eastAsiaTheme="minorEastAsia"/>
        </w:rPr>
        <w:t>, for all modes of travel.</w:t>
      </w:r>
      <w:r w:rsidR="00EF0816">
        <w:rPr>
          <w:rFonts w:eastAsiaTheme="minorEastAsia"/>
        </w:rPr>
        <w:t xml:space="preserve"> This is an indicator that we have estimated a good model.</w:t>
      </w:r>
    </w:p>
    <w:p w14:paraId="0E3AB53C" w14:textId="2F01A30A" w:rsidR="00841C64" w:rsidRDefault="00841C64" w:rsidP="00806980">
      <w:pPr>
        <w:rPr>
          <w:rFonts w:eastAsiaTheme="minorEastAsia"/>
        </w:rPr>
      </w:pPr>
    </w:p>
    <w:p w14:paraId="6E165F13" w14:textId="77777777" w:rsidR="00F4759F" w:rsidRDefault="00F4759F" w:rsidP="00806980">
      <w:pPr>
        <w:rPr>
          <w:rFonts w:eastAsiaTheme="minorEastAsia"/>
        </w:rPr>
      </w:pPr>
    </w:p>
    <w:p w14:paraId="3B677D0A" w14:textId="6727061E" w:rsidR="00841C64" w:rsidRDefault="00841C64" w:rsidP="00806980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</w:r>
      <w:r w:rsidR="003B060B">
        <w:rPr>
          <w:rFonts w:eastAsiaTheme="minorEastAsia"/>
          <w:b/>
          <w:bCs/>
        </w:rPr>
        <w:t>3</w:t>
      </w:r>
      <w:r>
        <w:rPr>
          <w:rFonts w:eastAsiaTheme="minorEastAsia"/>
          <w:b/>
          <w:bCs/>
        </w:rPr>
        <w:t>e)</w:t>
      </w:r>
    </w:p>
    <w:p w14:paraId="29C270C3" w14:textId="0FBF50BE" w:rsidR="00841C64" w:rsidRDefault="00DF4E79" w:rsidP="00806980">
      <w:pPr>
        <w:rPr>
          <w:rFonts w:eastAsiaTheme="minorEastAsia"/>
        </w:rPr>
      </w:pPr>
      <w:r>
        <w:rPr>
          <w:rFonts w:eastAsiaTheme="minorEastAsia"/>
        </w:rPr>
        <w:t xml:space="preserve">As the household income variable is associated only with the AIR mode of travel, </w:t>
      </w:r>
      <w:r w:rsidR="006762B4">
        <w:rPr>
          <w:rFonts w:eastAsiaTheme="minorEastAsia"/>
        </w:rPr>
        <w:t xml:space="preserve">the interpretation is only due on that </w:t>
      </w:r>
      <w:r w:rsidR="00360475">
        <w:rPr>
          <w:rFonts w:eastAsiaTheme="minorEastAsia"/>
        </w:rPr>
        <w:t>coefficient.</w:t>
      </w:r>
      <w:r w:rsidR="00BF6893">
        <w:rPr>
          <w:rFonts w:eastAsiaTheme="minorEastAsia"/>
        </w:rPr>
        <w:t xml:space="preserve"> However, for completion sake, </w:t>
      </w:r>
      <w:r w:rsidR="00DC6931">
        <w:rPr>
          <w:rFonts w:eastAsiaTheme="minorEastAsia"/>
        </w:rPr>
        <w:t>all coefficients will be interpreted.</w:t>
      </w:r>
    </w:p>
    <w:p w14:paraId="398948CA" w14:textId="77777777" w:rsidR="007B57F7" w:rsidRDefault="007B57F7" w:rsidP="00806980">
      <w:pPr>
        <w:rPr>
          <w:rFonts w:eastAsiaTheme="minorEastAsia"/>
        </w:rPr>
      </w:pPr>
    </w:p>
    <w:p w14:paraId="1AE057CA" w14:textId="374060EF" w:rsidR="00360475" w:rsidRDefault="001D10F6" w:rsidP="00806980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w:r w:rsidR="00452EC2">
        <w:rPr>
          <w:rFonts w:eastAsiaTheme="minorEastAsia"/>
        </w:rPr>
        <w:t xml:space="preserve">choice=AIR, the marginal effect of </w:t>
      </w:r>
      <w:proofErr w:type="spellStart"/>
      <w:r w:rsidR="00452EC2">
        <w:rPr>
          <w:rFonts w:eastAsiaTheme="minorEastAsia"/>
          <w:i/>
          <w:iCs/>
        </w:rPr>
        <w:t>hinc</w:t>
      </w:r>
      <w:proofErr w:type="spellEnd"/>
      <w:r w:rsidR="00452EC2">
        <w:rPr>
          <w:rFonts w:eastAsiaTheme="minorEastAsia"/>
        </w:rPr>
        <w:t xml:space="preserve"> is</w:t>
      </w:r>
      <w:r w:rsidR="00360475">
        <w:rPr>
          <w:rFonts w:eastAsiaTheme="minorEastAsia"/>
        </w:rPr>
        <w:t xml:space="preserve"> </w:t>
      </w:r>
      <w:r w:rsidR="00FF26EC">
        <w:rPr>
          <w:rFonts w:eastAsiaTheme="minorEastAsia"/>
        </w:rPr>
        <w:t>0.004085.</w:t>
      </w:r>
    </w:p>
    <w:p w14:paraId="3DF2E762" w14:textId="515046F7" w:rsidR="00FF26EC" w:rsidRDefault="00643AFE" w:rsidP="00806980">
      <w:pPr>
        <w:rPr>
          <w:rFonts w:eastAsiaTheme="minorEastAsia"/>
        </w:rPr>
      </w:pPr>
      <w:r>
        <w:rPr>
          <w:rFonts w:eastAsiaTheme="minorEastAsia"/>
        </w:rPr>
        <w:t xml:space="preserve">This means that an increase in 1 unit ($1000) </w:t>
      </w:r>
      <w:r w:rsidR="004C2B80">
        <w:rPr>
          <w:rFonts w:eastAsiaTheme="minorEastAsia"/>
        </w:rPr>
        <w:t>in income increases by 0.004085 the probability</w:t>
      </w:r>
      <w:r w:rsidR="003F5CE5">
        <w:rPr>
          <w:rFonts w:eastAsiaTheme="minorEastAsia"/>
        </w:rPr>
        <w:t xml:space="preserve"> to travel by </w:t>
      </w:r>
      <w:r w:rsidR="00D95671">
        <w:rPr>
          <w:rFonts w:eastAsiaTheme="minorEastAsia"/>
        </w:rPr>
        <w:t>air</w:t>
      </w:r>
      <w:r w:rsidR="00D04A25">
        <w:rPr>
          <w:rFonts w:eastAsiaTheme="minorEastAsia"/>
        </w:rPr>
        <w:t xml:space="preserve"> </w:t>
      </w:r>
      <w:r w:rsidR="003B4638">
        <w:rPr>
          <w:rFonts w:eastAsiaTheme="minorEastAsia"/>
        </w:rPr>
        <w:t xml:space="preserve">rather than by </w:t>
      </w:r>
      <w:r w:rsidR="00D95671">
        <w:rPr>
          <w:rFonts w:eastAsiaTheme="minorEastAsia"/>
        </w:rPr>
        <w:t>bus, train or car</w:t>
      </w:r>
      <w:r w:rsidR="002565A3">
        <w:rPr>
          <w:rFonts w:eastAsiaTheme="minorEastAsia"/>
        </w:rPr>
        <w:t xml:space="preserve">, </w:t>
      </w:r>
      <w:proofErr w:type="gramStart"/>
      <w:r w:rsidR="002565A3">
        <w:rPr>
          <w:rFonts w:eastAsiaTheme="minorEastAsia"/>
        </w:rPr>
        <w:t xml:space="preserve">with </w:t>
      </w:r>
      <w:r w:rsidR="006F4FD4">
        <w:rPr>
          <w:rFonts w:eastAsiaTheme="minorEastAsia"/>
        </w:rPr>
        <w:t>regard to</w:t>
      </w:r>
      <w:proofErr w:type="gramEnd"/>
      <w:r w:rsidR="006F4FD4">
        <w:rPr>
          <w:rFonts w:eastAsiaTheme="minorEastAsia"/>
        </w:rPr>
        <w:t xml:space="preserve"> the mean values</w:t>
      </w:r>
      <w:r w:rsidR="007B57F7">
        <w:rPr>
          <w:rFonts w:eastAsiaTheme="minorEastAsia"/>
        </w:rPr>
        <w:t xml:space="preserve"> of the independent variables.</w:t>
      </w:r>
    </w:p>
    <w:p w14:paraId="05B60E8A" w14:textId="77777777" w:rsidR="00132965" w:rsidRDefault="00132965" w:rsidP="00806980">
      <w:pPr>
        <w:rPr>
          <w:rFonts w:eastAsiaTheme="minorEastAsia"/>
        </w:rPr>
      </w:pPr>
    </w:p>
    <w:p w14:paraId="2AD472BB" w14:textId="1645901B" w:rsidR="001A58B4" w:rsidRDefault="00452EC2" w:rsidP="00806980">
      <w:pPr>
        <w:rPr>
          <w:rFonts w:eastAsiaTheme="minorEastAsia"/>
        </w:rPr>
      </w:pPr>
      <w:r>
        <w:rPr>
          <w:rFonts w:eastAsiaTheme="minorEastAsia"/>
        </w:rPr>
        <w:t xml:space="preserve">When choice=BUS, the marginal effect </w:t>
      </w:r>
      <w:r w:rsidR="00E51B32">
        <w:rPr>
          <w:rFonts w:eastAsiaTheme="minorEastAsia"/>
        </w:rPr>
        <w:t xml:space="preserve">of </w:t>
      </w:r>
      <w:proofErr w:type="spellStart"/>
      <w:r w:rsidR="00E51B32">
        <w:rPr>
          <w:rFonts w:eastAsiaTheme="minorEastAsia"/>
          <w:i/>
          <w:iCs/>
        </w:rPr>
        <w:t>hinc</w:t>
      </w:r>
      <w:proofErr w:type="spellEnd"/>
      <w:r w:rsidR="00E51B32">
        <w:rPr>
          <w:rFonts w:eastAsiaTheme="minorEastAsia"/>
          <w:i/>
          <w:iCs/>
        </w:rPr>
        <w:t xml:space="preserve"> </w:t>
      </w:r>
      <w:r w:rsidR="0082219C">
        <w:rPr>
          <w:rFonts w:eastAsiaTheme="minorEastAsia"/>
        </w:rPr>
        <w:t xml:space="preserve">is </w:t>
      </w:r>
      <w:r w:rsidR="00D120B0">
        <w:rPr>
          <w:rFonts w:eastAsiaTheme="minorEastAsia"/>
        </w:rPr>
        <w:t>-0.</w:t>
      </w:r>
      <w:r w:rsidR="00D42B1A">
        <w:rPr>
          <w:rFonts w:eastAsiaTheme="minorEastAsia"/>
        </w:rPr>
        <w:t>000952</w:t>
      </w:r>
      <w:r w:rsidR="00132965">
        <w:rPr>
          <w:rFonts w:eastAsiaTheme="minorEastAsia"/>
        </w:rPr>
        <w:t>.</w:t>
      </w:r>
    </w:p>
    <w:p w14:paraId="3458767C" w14:textId="4EEDDF75" w:rsidR="00132965" w:rsidRDefault="00132965" w:rsidP="00132965">
      <w:pPr>
        <w:rPr>
          <w:rFonts w:eastAsiaTheme="minorEastAsia"/>
        </w:rPr>
      </w:pPr>
      <w:r>
        <w:rPr>
          <w:rFonts w:eastAsiaTheme="minorEastAsia"/>
        </w:rPr>
        <w:t xml:space="preserve">This means that an increase in 1 unit ($1000) in income decreases by -0.000952 the probability to travel by bus rather than by air, train or car, </w:t>
      </w:r>
      <w:proofErr w:type="gramStart"/>
      <w:r>
        <w:rPr>
          <w:rFonts w:eastAsiaTheme="minorEastAsia"/>
        </w:rPr>
        <w:t>with regard to</w:t>
      </w:r>
      <w:proofErr w:type="gramEnd"/>
      <w:r>
        <w:rPr>
          <w:rFonts w:eastAsiaTheme="minorEastAsia"/>
        </w:rPr>
        <w:t xml:space="preserve"> the mean values</w:t>
      </w:r>
      <w:r w:rsidR="00E23D38">
        <w:rPr>
          <w:rFonts w:eastAsiaTheme="minorEastAsia"/>
        </w:rPr>
        <w:t xml:space="preserve"> of the </w:t>
      </w:r>
      <w:r w:rsidR="007B57F7">
        <w:rPr>
          <w:rFonts w:eastAsiaTheme="minorEastAsia"/>
        </w:rPr>
        <w:t xml:space="preserve">independent </w:t>
      </w:r>
      <w:r w:rsidR="00C80B84">
        <w:rPr>
          <w:rFonts w:eastAsiaTheme="minorEastAsia"/>
        </w:rPr>
        <w:t>variables.</w:t>
      </w:r>
    </w:p>
    <w:p w14:paraId="3FECBDF7" w14:textId="77777777" w:rsidR="00132965" w:rsidRPr="00E51B32" w:rsidRDefault="00132965" w:rsidP="00806980">
      <w:pPr>
        <w:rPr>
          <w:rFonts w:eastAsiaTheme="minorEastAsia"/>
        </w:rPr>
      </w:pPr>
    </w:p>
    <w:p w14:paraId="6F180EFB" w14:textId="237560DC" w:rsidR="00E51B32" w:rsidRDefault="007B57F7" w:rsidP="00806980">
      <w:pPr>
        <w:rPr>
          <w:rFonts w:eastAsiaTheme="minorEastAsia"/>
        </w:rPr>
      </w:pPr>
      <w:r>
        <w:rPr>
          <w:rFonts w:eastAsiaTheme="minorEastAsia"/>
        </w:rPr>
        <w:t>When choice=</w:t>
      </w:r>
      <w:r w:rsidR="00386A8B">
        <w:rPr>
          <w:rFonts w:eastAsiaTheme="minorEastAsia"/>
        </w:rPr>
        <w:t xml:space="preserve">CAR, the marginal effect of </w:t>
      </w:r>
      <w:proofErr w:type="spellStart"/>
      <w:r w:rsidR="00386A8B">
        <w:rPr>
          <w:rFonts w:eastAsiaTheme="minorEastAsia"/>
          <w:i/>
          <w:iCs/>
        </w:rPr>
        <w:t>hinc</w:t>
      </w:r>
      <w:proofErr w:type="spellEnd"/>
      <w:r w:rsidR="00386A8B">
        <w:rPr>
          <w:rFonts w:eastAsiaTheme="minorEastAsia"/>
        </w:rPr>
        <w:t xml:space="preserve"> is 0.00686.</w:t>
      </w:r>
    </w:p>
    <w:p w14:paraId="5B20AB06" w14:textId="0E1EF4C3" w:rsidR="00386A8B" w:rsidRDefault="00386A8B" w:rsidP="00386A8B">
      <w:pPr>
        <w:rPr>
          <w:rFonts w:eastAsiaTheme="minorEastAsia"/>
        </w:rPr>
      </w:pPr>
      <w:r>
        <w:rPr>
          <w:rFonts w:eastAsiaTheme="minorEastAsia"/>
        </w:rPr>
        <w:t xml:space="preserve">This means that an increase in 1 unit ($1000) in income increases by 0.00686 the probability to travel by car rather than by air, train or bus, </w:t>
      </w:r>
      <w:proofErr w:type="gramStart"/>
      <w:r>
        <w:rPr>
          <w:rFonts w:eastAsiaTheme="minorEastAsia"/>
        </w:rPr>
        <w:t>with regard to</w:t>
      </w:r>
      <w:proofErr w:type="gramEnd"/>
      <w:r>
        <w:rPr>
          <w:rFonts w:eastAsiaTheme="minorEastAsia"/>
        </w:rPr>
        <w:t xml:space="preserve"> the mean values of the independent variables.</w:t>
      </w:r>
    </w:p>
    <w:p w14:paraId="54A09E8D" w14:textId="30EF6C87" w:rsidR="000C2D17" w:rsidRDefault="000C2D17" w:rsidP="00386A8B">
      <w:pPr>
        <w:rPr>
          <w:rFonts w:eastAsiaTheme="minorEastAsia"/>
        </w:rPr>
      </w:pPr>
    </w:p>
    <w:p w14:paraId="6C2340B2" w14:textId="7614F1FF" w:rsidR="000C2D17" w:rsidRDefault="000C2D17" w:rsidP="00386A8B">
      <w:pPr>
        <w:rPr>
          <w:rFonts w:eastAsiaTheme="minorEastAsia"/>
        </w:rPr>
      </w:pPr>
      <w:r>
        <w:rPr>
          <w:rFonts w:eastAsiaTheme="minorEastAsia"/>
        </w:rPr>
        <w:t>When choice=</w:t>
      </w:r>
      <w:r w:rsidR="0083598F">
        <w:rPr>
          <w:rFonts w:eastAsiaTheme="minorEastAsia"/>
        </w:rPr>
        <w:t xml:space="preserve">TRAIN, the marginal effect of </w:t>
      </w:r>
      <w:proofErr w:type="spellStart"/>
      <w:r w:rsidR="0083598F">
        <w:rPr>
          <w:rFonts w:eastAsiaTheme="minorEastAsia"/>
          <w:i/>
          <w:iCs/>
        </w:rPr>
        <w:t>hinc</w:t>
      </w:r>
      <w:proofErr w:type="spellEnd"/>
      <w:r w:rsidR="0083598F">
        <w:rPr>
          <w:rFonts w:eastAsiaTheme="minorEastAsia"/>
          <w:i/>
          <w:iCs/>
        </w:rPr>
        <w:t xml:space="preserve"> </w:t>
      </w:r>
      <w:r w:rsidR="0083598F">
        <w:rPr>
          <w:rFonts w:eastAsiaTheme="minorEastAsia"/>
        </w:rPr>
        <w:t xml:space="preserve">is </w:t>
      </w:r>
      <w:bookmarkStart w:id="0" w:name="_Hlk35105351"/>
      <w:r w:rsidR="00D94F00">
        <w:rPr>
          <w:rFonts w:eastAsiaTheme="minorEastAsia"/>
        </w:rPr>
        <w:t>-0.009993</w:t>
      </w:r>
      <w:bookmarkEnd w:id="0"/>
      <w:r w:rsidR="00284DDA">
        <w:rPr>
          <w:rFonts w:eastAsiaTheme="minorEastAsia"/>
        </w:rPr>
        <w:t>.</w:t>
      </w:r>
    </w:p>
    <w:p w14:paraId="69348644" w14:textId="0C54E685" w:rsidR="00E51B32" w:rsidRDefault="00284DDA" w:rsidP="00806980">
      <w:pPr>
        <w:rPr>
          <w:rFonts w:eastAsiaTheme="minorEastAsia"/>
        </w:rPr>
      </w:pPr>
      <w:r>
        <w:rPr>
          <w:rFonts w:eastAsiaTheme="minorEastAsia"/>
        </w:rPr>
        <w:t xml:space="preserve">This means that an increase in 1 unit ($1000) in income decreases by </w:t>
      </w:r>
      <w:r w:rsidRPr="00284DDA">
        <w:rPr>
          <w:rFonts w:eastAsiaTheme="minorEastAsia"/>
        </w:rPr>
        <w:t>-0.009993</w:t>
      </w:r>
      <w:r>
        <w:rPr>
          <w:rFonts w:eastAsiaTheme="minorEastAsia"/>
        </w:rPr>
        <w:t xml:space="preserve"> the probability to travel by train rather than by air, </w:t>
      </w:r>
      <w:r w:rsidR="00032E5C">
        <w:rPr>
          <w:rFonts w:eastAsiaTheme="minorEastAsia"/>
        </w:rPr>
        <w:t>bus</w:t>
      </w:r>
      <w:r>
        <w:rPr>
          <w:rFonts w:eastAsiaTheme="minorEastAsia"/>
        </w:rPr>
        <w:t xml:space="preserve"> or car, </w:t>
      </w:r>
      <w:proofErr w:type="gramStart"/>
      <w:r>
        <w:rPr>
          <w:rFonts w:eastAsiaTheme="minorEastAsia"/>
        </w:rPr>
        <w:t>with regard to</w:t>
      </w:r>
      <w:proofErr w:type="gramEnd"/>
      <w:r>
        <w:rPr>
          <w:rFonts w:eastAsiaTheme="minorEastAsia"/>
        </w:rPr>
        <w:t xml:space="preserve"> the mean values of the independent variables.</w:t>
      </w:r>
    </w:p>
    <w:p w14:paraId="0C4C79B3" w14:textId="4C2A403A" w:rsidR="001A58B4" w:rsidRDefault="003B060B" w:rsidP="001A58B4">
      <w:pPr>
        <w:ind w:firstLine="72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3</w:t>
      </w:r>
      <w:r w:rsidR="001A58B4">
        <w:rPr>
          <w:rFonts w:eastAsiaTheme="minorEastAsia"/>
          <w:b/>
          <w:bCs/>
        </w:rPr>
        <w:t>f)</w:t>
      </w:r>
    </w:p>
    <w:p w14:paraId="646E32F1" w14:textId="3FBC9EE2" w:rsidR="001A58B4" w:rsidRDefault="00524FD3" w:rsidP="001A58B4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First of all</w:t>
      </w:r>
      <w:proofErr w:type="gramEnd"/>
      <w:r>
        <w:rPr>
          <w:rFonts w:eastAsiaTheme="minorEastAsia"/>
        </w:rPr>
        <w:t>, by looking at the table,</w:t>
      </w:r>
      <w:r w:rsidR="00CA77B7">
        <w:rPr>
          <w:rFonts w:eastAsiaTheme="minorEastAsia"/>
        </w:rPr>
        <w:t xml:space="preserve"> we see that only </w:t>
      </w:r>
      <w:r w:rsidR="000351E9">
        <w:rPr>
          <w:rFonts w:eastAsiaTheme="minorEastAsia"/>
        </w:rPr>
        <w:t xml:space="preserve">two of the three coefficient estimates of </w:t>
      </w:r>
      <w:r w:rsidR="007672D5">
        <w:rPr>
          <w:rFonts w:eastAsiaTheme="minorEastAsia"/>
        </w:rPr>
        <w:t xml:space="preserve">household </w:t>
      </w:r>
      <w:r w:rsidR="000351E9">
        <w:rPr>
          <w:rFonts w:eastAsiaTheme="minorEastAsia"/>
        </w:rPr>
        <w:t>income are statistically significant at the 5% level</w:t>
      </w:r>
      <w:r w:rsidR="000535CD">
        <w:rPr>
          <w:rFonts w:eastAsiaTheme="minorEastAsia"/>
        </w:rPr>
        <w:t>, but the results of individual testing may vary with the base outcome/omitted category. As such, we’ll perform a Wald test</w:t>
      </w:r>
      <w:r w:rsidR="007672D5">
        <w:rPr>
          <w:rFonts w:eastAsiaTheme="minorEastAsia"/>
        </w:rPr>
        <w:t xml:space="preserve"> to be more certain that household income</w:t>
      </w:r>
      <w:r w:rsidR="008043AA">
        <w:rPr>
          <w:rFonts w:eastAsiaTheme="minorEastAsia"/>
        </w:rPr>
        <w:t xml:space="preserve"> </w:t>
      </w:r>
      <w:r w:rsidR="00A738E5">
        <w:rPr>
          <w:rFonts w:eastAsiaTheme="minorEastAsia"/>
        </w:rPr>
        <w:t>has significance.</w:t>
      </w:r>
    </w:p>
    <w:p w14:paraId="42282C7A" w14:textId="276AE740" w:rsidR="003537A0" w:rsidRDefault="003537A0" w:rsidP="001A58B4">
      <w:pPr>
        <w:rPr>
          <w:rFonts w:eastAsiaTheme="minorEastAsia"/>
        </w:rPr>
      </w:pPr>
      <w:r>
        <w:rPr>
          <w:rFonts w:eastAsiaTheme="minorEastAsia"/>
        </w:rPr>
        <w:t xml:space="preserve">The result clearly shows us the significance of household income in explaining the </w:t>
      </w:r>
      <w:r w:rsidR="00590CF9">
        <w:rPr>
          <w:rFonts w:eastAsiaTheme="minorEastAsia"/>
        </w:rPr>
        <w:t>travel mean choice.</w:t>
      </w:r>
    </w:p>
    <w:p w14:paraId="07037320" w14:textId="0BE73935" w:rsidR="00A11304" w:rsidRDefault="00B4787A" w:rsidP="001A58B4">
      <w:pPr>
        <w:rPr>
          <w:rFonts w:eastAsiaTheme="minorEastAsia"/>
        </w:rPr>
      </w:pPr>
      <w:r>
        <w:rPr>
          <w:rFonts w:eastAsiaTheme="minorEastAsia"/>
        </w:rPr>
        <w:t xml:space="preserve">Keeping in mind that our base category is </w:t>
      </w:r>
      <w:r w:rsidR="007B3EDA">
        <w:rPr>
          <w:rFonts w:eastAsiaTheme="minorEastAsia"/>
        </w:rPr>
        <w:t xml:space="preserve">travel by car, we </w:t>
      </w:r>
      <w:r w:rsidR="005A185F">
        <w:rPr>
          <w:rFonts w:eastAsiaTheme="minorEastAsia"/>
        </w:rPr>
        <w:t xml:space="preserve">have negative coefficients for all </w:t>
      </w:r>
      <w:r w:rsidR="00587ADB">
        <w:rPr>
          <w:rFonts w:eastAsiaTheme="minorEastAsia"/>
        </w:rPr>
        <w:t xml:space="preserve">other means of travel. This lets us interpret that </w:t>
      </w:r>
      <w:r w:rsidR="000D1743">
        <w:rPr>
          <w:rFonts w:eastAsiaTheme="minorEastAsia"/>
        </w:rPr>
        <w:t>as household income increases</w:t>
      </w:r>
      <w:r w:rsidR="0060781D">
        <w:rPr>
          <w:rFonts w:eastAsiaTheme="minorEastAsia"/>
        </w:rPr>
        <w:t xml:space="preserve">, individuals are more likely to </w:t>
      </w:r>
      <w:r w:rsidR="00073ECB">
        <w:rPr>
          <w:rFonts w:eastAsiaTheme="minorEastAsia"/>
        </w:rPr>
        <w:t xml:space="preserve">travel </w:t>
      </w:r>
      <w:r w:rsidR="00840688">
        <w:rPr>
          <w:rFonts w:eastAsiaTheme="minorEastAsia"/>
        </w:rPr>
        <w:t xml:space="preserve">by car than by bus, </w:t>
      </w:r>
      <w:r w:rsidR="00FC7FCD">
        <w:rPr>
          <w:rFonts w:eastAsiaTheme="minorEastAsia"/>
        </w:rPr>
        <w:t xml:space="preserve">train, or air. </w:t>
      </w:r>
      <w:r w:rsidR="00CD078A">
        <w:rPr>
          <w:rFonts w:eastAsiaTheme="minorEastAsia"/>
        </w:rPr>
        <w:t xml:space="preserve">This, however, is not completely coherent with our previous interpretations on the Conditional Logit model. One might reason that </w:t>
      </w:r>
      <w:r w:rsidR="00D3092E">
        <w:rPr>
          <w:rFonts w:eastAsiaTheme="minorEastAsia"/>
        </w:rPr>
        <w:t>the transformation of the model has made the Multinomial Logit not totally equivalent to the Conditional Logit previously estimated.</w:t>
      </w:r>
    </w:p>
    <w:p w14:paraId="408A6246" w14:textId="2B40B7A1" w:rsidR="00D3092E" w:rsidRDefault="00170BE1" w:rsidP="001A58B4">
      <w:pPr>
        <w:rPr>
          <w:rFonts w:eastAsiaTheme="minorEastAsia"/>
        </w:rPr>
      </w:pPr>
      <w:r>
        <w:rPr>
          <w:rFonts w:eastAsiaTheme="minorEastAsia"/>
        </w:rPr>
        <w:t>Transforming into relative</w:t>
      </w:r>
      <w:r w:rsidR="00B16B4D">
        <w:rPr>
          <w:rFonts w:eastAsiaTheme="minorEastAsia"/>
        </w:rPr>
        <w:t xml:space="preserve"> risk-ratio for interpretation is also interesting. </w:t>
      </w:r>
    </w:p>
    <w:p w14:paraId="6CD15974" w14:textId="1812EA55" w:rsidR="00B16B4D" w:rsidRPr="00524FD3" w:rsidRDefault="00B16B4D" w:rsidP="001A58B4">
      <w:pPr>
        <w:rPr>
          <w:rFonts w:eastAsiaTheme="minorEastAsia"/>
        </w:rPr>
      </w:pPr>
      <w:r>
        <w:rPr>
          <w:rFonts w:eastAsiaTheme="minorEastAsia"/>
        </w:rPr>
        <w:t xml:space="preserve">With this transformation, </w:t>
      </w:r>
      <w:r w:rsidR="00FD78FE">
        <w:rPr>
          <w:rFonts w:eastAsiaTheme="minorEastAsia"/>
        </w:rPr>
        <w:t xml:space="preserve">we </w:t>
      </w:r>
      <w:r w:rsidR="00B15278">
        <w:rPr>
          <w:rFonts w:eastAsiaTheme="minorEastAsia"/>
        </w:rPr>
        <w:t xml:space="preserve">can see that with a one-unit ($1000) increase in household income, </w:t>
      </w:r>
      <w:r w:rsidR="00A113D0">
        <w:rPr>
          <w:rFonts w:eastAsiaTheme="minorEastAsia"/>
        </w:rPr>
        <w:t xml:space="preserve">the relative odds of choosing to travel by air, bus, or </w:t>
      </w:r>
      <w:r w:rsidR="00CA5AC2">
        <w:rPr>
          <w:rFonts w:eastAsiaTheme="minorEastAsia"/>
        </w:rPr>
        <w:t>train rather than car</w:t>
      </w:r>
      <w:r w:rsidR="003C04F0">
        <w:rPr>
          <w:rFonts w:eastAsiaTheme="minorEastAsia"/>
        </w:rPr>
        <w:t xml:space="preserve"> decline</w:t>
      </w:r>
      <w:r w:rsidR="000E1EE6">
        <w:rPr>
          <w:rFonts w:eastAsiaTheme="minorEastAsia"/>
        </w:rPr>
        <w:t xml:space="preserve"> – because the coefficients are smaller than one</w:t>
      </w:r>
      <w:r w:rsidR="003C04F0">
        <w:rPr>
          <w:rFonts w:eastAsiaTheme="minorEastAsia"/>
        </w:rPr>
        <w:t xml:space="preserve">. </w:t>
      </w:r>
      <w:r w:rsidR="000E1EE6">
        <w:rPr>
          <w:rFonts w:eastAsiaTheme="minorEastAsia"/>
        </w:rPr>
        <w:t xml:space="preserve">However, they are only marginally smaller than one, </w:t>
      </w:r>
      <w:proofErr w:type="gramStart"/>
      <w:r w:rsidR="000E1EE6">
        <w:rPr>
          <w:rFonts w:eastAsiaTheme="minorEastAsia"/>
        </w:rPr>
        <w:t xml:space="preserve">which  </w:t>
      </w:r>
      <w:r w:rsidR="001C43FF">
        <w:rPr>
          <w:rFonts w:eastAsiaTheme="minorEastAsia"/>
        </w:rPr>
        <w:t>points</w:t>
      </w:r>
      <w:proofErr w:type="gramEnd"/>
      <w:r w:rsidR="001C43FF">
        <w:rPr>
          <w:rFonts w:eastAsiaTheme="minorEastAsia"/>
        </w:rPr>
        <w:t xml:space="preserve"> that a big household income variation is needed for a</w:t>
      </w:r>
      <w:r w:rsidR="005030AA">
        <w:rPr>
          <w:rFonts w:eastAsiaTheme="minorEastAsia"/>
        </w:rPr>
        <w:t xml:space="preserve">n actual relevant change in </w:t>
      </w:r>
      <w:r w:rsidR="00D97F98">
        <w:rPr>
          <w:rFonts w:eastAsiaTheme="minorEastAsia"/>
        </w:rPr>
        <w:t>the odds to occur.</w:t>
      </w:r>
    </w:p>
    <w:p w14:paraId="5F3F0861" w14:textId="10316D9F" w:rsidR="00C938B9" w:rsidRDefault="00C938B9" w:rsidP="001A58B4">
      <w:pPr>
        <w:rPr>
          <w:rFonts w:eastAsiaTheme="minorEastAsia"/>
          <w:b/>
          <w:bCs/>
        </w:rPr>
      </w:pPr>
    </w:p>
    <w:p w14:paraId="53473451" w14:textId="6DAEF32C" w:rsidR="00C938B9" w:rsidRDefault="00C938B9" w:rsidP="001A58B4">
      <w:pPr>
        <w:rPr>
          <w:rFonts w:eastAsiaTheme="minorEastAsia"/>
          <w:b/>
          <w:bCs/>
        </w:rPr>
      </w:pPr>
    </w:p>
    <w:p w14:paraId="6BB3C077" w14:textId="69EB7B35" w:rsidR="00C938B9" w:rsidRDefault="00C938B9" w:rsidP="001A58B4">
      <w:pPr>
        <w:rPr>
          <w:rFonts w:eastAsiaTheme="minorEastAsia"/>
          <w:b/>
          <w:bCs/>
        </w:rPr>
      </w:pPr>
    </w:p>
    <w:p w14:paraId="09E28257" w14:textId="62A061AD" w:rsidR="00C938B9" w:rsidRDefault="00C938B9" w:rsidP="001A58B4">
      <w:pPr>
        <w:rPr>
          <w:rFonts w:eastAsiaTheme="minorEastAsia"/>
        </w:rPr>
      </w:pPr>
      <w:r>
        <w:rPr>
          <w:rFonts w:eastAsiaTheme="minorEastAsia"/>
          <w:b/>
          <w:bCs/>
        </w:rPr>
        <w:tab/>
      </w:r>
      <w:r w:rsidR="003B060B">
        <w:rPr>
          <w:rFonts w:eastAsiaTheme="minorEastAsia"/>
          <w:b/>
          <w:bCs/>
        </w:rPr>
        <w:t>3</w:t>
      </w:r>
      <w:r>
        <w:rPr>
          <w:rFonts w:eastAsiaTheme="minorEastAsia"/>
          <w:b/>
          <w:bCs/>
        </w:rPr>
        <w:t>g)</w:t>
      </w:r>
    </w:p>
    <w:p w14:paraId="62BC655B" w14:textId="6AF6BEBF" w:rsidR="00C938B9" w:rsidRPr="00C938B9" w:rsidRDefault="00DB520F" w:rsidP="001A58B4">
      <w:pPr>
        <w:rPr>
          <w:rFonts w:eastAsiaTheme="minorEastAsia"/>
        </w:rPr>
      </w:pPr>
      <w:r>
        <w:rPr>
          <w:rFonts w:eastAsiaTheme="minorEastAsia"/>
        </w:rPr>
        <w:t>Based on the Hausman test for the I</w:t>
      </w:r>
      <w:r w:rsidR="00642D2D">
        <w:rPr>
          <w:rFonts w:eastAsiaTheme="minorEastAsia"/>
        </w:rPr>
        <w:t>ndependence from Irrelevant Alternatives (IIA)</w:t>
      </w:r>
      <w:r w:rsidR="00091257">
        <w:rPr>
          <w:rFonts w:eastAsiaTheme="minorEastAsia"/>
        </w:rPr>
        <w:t xml:space="preserve">, </w:t>
      </w:r>
      <w:proofErr w:type="gramStart"/>
      <w:r w:rsidR="00091257">
        <w:rPr>
          <w:rFonts w:eastAsiaTheme="minorEastAsia"/>
        </w:rPr>
        <w:t xml:space="preserve">this </w:t>
      </w:r>
      <w:r w:rsidR="00642D2D">
        <w:rPr>
          <w:rFonts w:eastAsiaTheme="minorEastAsia"/>
        </w:rPr>
        <w:t xml:space="preserve"> assumption</w:t>
      </w:r>
      <w:proofErr w:type="gramEnd"/>
      <w:r w:rsidR="00642D2D">
        <w:rPr>
          <w:rFonts w:eastAsiaTheme="minorEastAsia"/>
        </w:rPr>
        <w:t xml:space="preserve"> does not hold. </w:t>
      </w:r>
      <w:r w:rsidR="001361AF">
        <w:rPr>
          <w:rFonts w:eastAsiaTheme="minorEastAsia"/>
        </w:rPr>
        <w:t xml:space="preserve">As such, with this assumption violated, </w:t>
      </w:r>
      <w:r w:rsidR="003B726B">
        <w:rPr>
          <w:rFonts w:eastAsiaTheme="minorEastAsia"/>
        </w:rPr>
        <w:t xml:space="preserve">our estimates of </w:t>
      </w:r>
      <w:r w:rsidR="00321F3D">
        <w:rPr>
          <w:rFonts w:eastAsiaTheme="minorEastAsia"/>
        </w:rPr>
        <w:t xml:space="preserve">the coefficients are inconsistent – both for the Multinomial Logit and for the Conditional </w:t>
      </w:r>
      <w:r w:rsidR="00E26FFF">
        <w:rPr>
          <w:rFonts w:eastAsiaTheme="minorEastAsia"/>
        </w:rPr>
        <w:t>Logit.</w:t>
      </w:r>
      <w:r w:rsidR="00C80B12">
        <w:rPr>
          <w:rFonts w:eastAsiaTheme="minorEastAsia"/>
        </w:rPr>
        <w:t xml:space="preserve"> </w:t>
      </w:r>
    </w:p>
    <w:p w14:paraId="20FB4D3A" w14:textId="77777777" w:rsidR="00EF0816" w:rsidRPr="00154E83" w:rsidRDefault="00EF0816" w:rsidP="00806980">
      <w:pPr>
        <w:rPr>
          <w:rFonts w:eastAsiaTheme="minorEastAsia"/>
        </w:rPr>
      </w:pPr>
    </w:p>
    <w:p w14:paraId="234C348B" w14:textId="0B77BB88" w:rsidR="007947E2" w:rsidRPr="007947E2" w:rsidRDefault="009156FF" w:rsidP="00806980">
      <w:r>
        <w:t xml:space="preserve"> </w:t>
      </w:r>
    </w:p>
    <w:sectPr w:rsidR="007947E2" w:rsidRPr="007947E2" w:rsidSect="00722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39"/>
    <w:rsid w:val="000033DA"/>
    <w:rsid w:val="0002485A"/>
    <w:rsid w:val="00032E5C"/>
    <w:rsid w:val="000351E9"/>
    <w:rsid w:val="000535CD"/>
    <w:rsid w:val="000544EA"/>
    <w:rsid w:val="000566E1"/>
    <w:rsid w:val="00073ECB"/>
    <w:rsid w:val="000811E6"/>
    <w:rsid w:val="0008682C"/>
    <w:rsid w:val="00091257"/>
    <w:rsid w:val="0009789F"/>
    <w:rsid w:val="000A5283"/>
    <w:rsid w:val="000B3277"/>
    <w:rsid w:val="000C2D17"/>
    <w:rsid w:val="000D1743"/>
    <w:rsid w:val="000D35F7"/>
    <w:rsid w:val="000E1EE6"/>
    <w:rsid w:val="000F7147"/>
    <w:rsid w:val="00132965"/>
    <w:rsid w:val="0013356D"/>
    <w:rsid w:val="001361AF"/>
    <w:rsid w:val="00154E83"/>
    <w:rsid w:val="00170BE1"/>
    <w:rsid w:val="001826EA"/>
    <w:rsid w:val="001929DE"/>
    <w:rsid w:val="00197EF8"/>
    <w:rsid w:val="001A58B4"/>
    <w:rsid w:val="001C43FF"/>
    <w:rsid w:val="001D10F6"/>
    <w:rsid w:val="00256593"/>
    <w:rsid w:val="002565A3"/>
    <w:rsid w:val="00284DDA"/>
    <w:rsid w:val="002C638A"/>
    <w:rsid w:val="00321F3D"/>
    <w:rsid w:val="00350B09"/>
    <w:rsid w:val="003537A0"/>
    <w:rsid w:val="00360475"/>
    <w:rsid w:val="00386A8B"/>
    <w:rsid w:val="003B060B"/>
    <w:rsid w:val="003B4638"/>
    <w:rsid w:val="003B726B"/>
    <w:rsid w:val="003C04F0"/>
    <w:rsid w:val="003E2534"/>
    <w:rsid w:val="003F5CE5"/>
    <w:rsid w:val="00452EC2"/>
    <w:rsid w:val="004C2B80"/>
    <w:rsid w:val="004C638F"/>
    <w:rsid w:val="005030AA"/>
    <w:rsid w:val="00524FD3"/>
    <w:rsid w:val="005544D6"/>
    <w:rsid w:val="00587ADB"/>
    <w:rsid w:val="00590CF9"/>
    <w:rsid w:val="005A185F"/>
    <w:rsid w:val="005F0541"/>
    <w:rsid w:val="00605061"/>
    <w:rsid w:val="0060781D"/>
    <w:rsid w:val="00642D2D"/>
    <w:rsid w:val="00643AFE"/>
    <w:rsid w:val="00660EC7"/>
    <w:rsid w:val="006735D7"/>
    <w:rsid w:val="006762B4"/>
    <w:rsid w:val="00690691"/>
    <w:rsid w:val="006A07BD"/>
    <w:rsid w:val="006F4FD4"/>
    <w:rsid w:val="0070235B"/>
    <w:rsid w:val="00722BCB"/>
    <w:rsid w:val="007672D5"/>
    <w:rsid w:val="0077471F"/>
    <w:rsid w:val="00776AFD"/>
    <w:rsid w:val="007849AF"/>
    <w:rsid w:val="00791312"/>
    <w:rsid w:val="007947E2"/>
    <w:rsid w:val="007B3EDA"/>
    <w:rsid w:val="007B57F7"/>
    <w:rsid w:val="007C6C7F"/>
    <w:rsid w:val="007D1BD9"/>
    <w:rsid w:val="007E7A67"/>
    <w:rsid w:val="008043AA"/>
    <w:rsid w:val="00806980"/>
    <w:rsid w:val="0082219C"/>
    <w:rsid w:val="0083598F"/>
    <w:rsid w:val="00840688"/>
    <w:rsid w:val="00841C64"/>
    <w:rsid w:val="009156FF"/>
    <w:rsid w:val="00934339"/>
    <w:rsid w:val="00995D74"/>
    <w:rsid w:val="00A03DF1"/>
    <w:rsid w:val="00A11304"/>
    <w:rsid w:val="00A113D0"/>
    <w:rsid w:val="00A327DC"/>
    <w:rsid w:val="00A738E5"/>
    <w:rsid w:val="00B15278"/>
    <w:rsid w:val="00B16B4D"/>
    <w:rsid w:val="00B425E1"/>
    <w:rsid w:val="00B4787A"/>
    <w:rsid w:val="00B84EE7"/>
    <w:rsid w:val="00BF6893"/>
    <w:rsid w:val="00C44949"/>
    <w:rsid w:val="00C6358A"/>
    <w:rsid w:val="00C80B12"/>
    <w:rsid w:val="00C80B84"/>
    <w:rsid w:val="00C90BB7"/>
    <w:rsid w:val="00C938B9"/>
    <w:rsid w:val="00CA5AC2"/>
    <w:rsid w:val="00CA77B7"/>
    <w:rsid w:val="00CC33A5"/>
    <w:rsid w:val="00CD078A"/>
    <w:rsid w:val="00CE7E48"/>
    <w:rsid w:val="00D02B8D"/>
    <w:rsid w:val="00D04A25"/>
    <w:rsid w:val="00D120B0"/>
    <w:rsid w:val="00D15033"/>
    <w:rsid w:val="00D3092E"/>
    <w:rsid w:val="00D3221E"/>
    <w:rsid w:val="00D42B1A"/>
    <w:rsid w:val="00D94F00"/>
    <w:rsid w:val="00D95671"/>
    <w:rsid w:val="00D97F98"/>
    <w:rsid w:val="00DB520F"/>
    <w:rsid w:val="00DC6931"/>
    <w:rsid w:val="00DF4E79"/>
    <w:rsid w:val="00E12834"/>
    <w:rsid w:val="00E23D38"/>
    <w:rsid w:val="00E26FFF"/>
    <w:rsid w:val="00E42FFA"/>
    <w:rsid w:val="00E44BAF"/>
    <w:rsid w:val="00E51B32"/>
    <w:rsid w:val="00EF0816"/>
    <w:rsid w:val="00F2173E"/>
    <w:rsid w:val="00F4759F"/>
    <w:rsid w:val="00F72556"/>
    <w:rsid w:val="00F820DD"/>
    <w:rsid w:val="00FC7FCD"/>
    <w:rsid w:val="00FD78FE"/>
    <w:rsid w:val="00FE2532"/>
    <w:rsid w:val="00F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82C2B"/>
  <w15:chartTrackingRefBased/>
  <w15:docId w15:val="{386156F7-CA72-4FDD-A6E4-35B7EE4F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0E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Filipe Silva</dc:creator>
  <cp:keywords/>
  <dc:description/>
  <cp:lastModifiedBy>André Filipe Silva</cp:lastModifiedBy>
  <cp:revision>134</cp:revision>
  <dcterms:created xsi:type="dcterms:W3CDTF">2020-03-13T10:18:00Z</dcterms:created>
  <dcterms:modified xsi:type="dcterms:W3CDTF">2020-03-14T21:03:00Z</dcterms:modified>
</cp:coreProperties>
</file>