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918B3" w14:textId="77777777" w:rsidR="003223D0" w:rsidRPr="004C20C3" w:rsidRDefault="003223D0" w:rsidP="003223D0">
      <w:pPr>
        <w:jc w:val="center"/>
        <w:rPr>
          <w:sz w:val="40"/>
          <w:szCs w:val="40"/>
        </w:rPr>
      </w:pPr>
      <w:r w:rsidRPr="004C20C3">
        <w:rPr>
          <w:sz w:val="40"/>
          <w:szCs w:val="40"/>
        </w:rPr>
        <w:t>UNIVERSIDADE DE MOGI DAS CRUZES</w:t>
      </w:r>
    </w:p>
    <w:p w14:paraId="53454EE9" w14:textId="77777777" w:rsidR="003223D0" w:rsidRDefault="003223D0" w:rsidP="003223D0">
      <w:pPr>
        <w:jc w:val="center"/>
        <w:rPr>
          <w:sz w:val="40"/>
          <w:szCs w:val="40"/>
        </w:rPr>
      </w:pPr>
    </w:p>
    <w:p w14:paraId="24F13037" w14:textId="77777777" w:rsidR="003223D0" w:rsidRDefault="003223D0" w:rsidP="003223D0">
      <w:pPr>
        <w:jc w:val="center"/>
        <w:rPr>
          <w:sz w:val="40"/>
          <w:szCs w:val="40"/>
        </w:rPr>
      </w:pPr>
    </w:p>
    <w:p w14:paraId="53D37337" w14:textId="77777777" w:rsidR="003223D0" w:rsidRDefault="003223D0" w:rsidP="003223D0">
      <w:pPr>
        <w:jc w:val="center"/>
        <w:rPr>
          <w:sz w:val="40"/>
          <w:szCs w:val="40"/>
        </w:rPr>
      </w:pPr>
    </w:p>
    <w:p w14:paraId="71F7D886" w14:textId="77777777" w:rsidR="003223D0" w:rsidRDefault="003223D0" w:rsidP="003223D0">
      <w:pPr>
        <w:jc w:val="center"/>
        <w:rPr>
          <w:sz w:val="40"/>
          <w:szCs w:val="40"/>
        </w:rPr>
      </w:pPr>
    </w:p>
    <w:p w14:paraId="4C3A7AD3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7A86CB16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202A146A" w14:textId="6CAA9B1A" w:rsidR="003223D0" w:rsidRDefault="003223D0" w:rsidP="003223D0">
      <w:pPr>
        <w:jc w:val="center"/>
        <w:rPr>
          <w:b/>
          <w:bCs/>
          <w:sz w:val="52"/>
          <w:szCs w:val="52"/>
        </w:rPr>
      </w:pPr>
      <w:r w:rsidRPr="003223D0">
        <w:rPr>
          <w:b/>
          <w:bCs/>
          <w:sz w:val="52"/>
          <w:szCs w:val="52"/>
        </w:rPr>
        <w:t>Criptografia e Comunicação Segura</w:t>
      </w:r>
    </w:p>
    <w:p w14:paraId="5AE0B61F" w14:textId="77777777" w:rsidR="003223D0" w:rsidRPr="004C20C3" w:rsidRDefault="003223D0" w:rsidP="003223D0">
      <w:pPr>
        <w:jc w:val="center"/>
        <w:rPr>
          <w:b/>
          <w:bCs/>
          <w:sz w:val="52"/>
          <w:szCs w:val="52"/>
        </w:rPr>
      </w:pPr>
    </w:p>
    <w:p w14:paraId="095DDF15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7143E16C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542BE04C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3248AB63" w14:textId="77777777" w:rsidR="003223D0" w:rsidRDefault="003223D0" w:rsidP="003223D0">
      <w:pPr>
        <w:jc w:val="center"/>
        <w:rPr>
          <w:sz w:val="40"/>
          <w:szCs w:val="40"/>
        </w:rPr>
      </w:pPr>
    </w:p>
    <w:p w14:paraId="28E3BE65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440C02D5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1BD56C90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65B29937" w14:textId="77777777" w:rsidR="003223D0" w:rsidRPr="004C20C3" w:rsidRDefault="003223D0" w:rsidP="003223D0">
      <w:pPr>
        <w:jc w:val="center"/>
        <w:rPr>
          <w:sz w:val="40"/>
          <w:szCs w:val="40"/>
        </w:rPr>
      </w:pPr>
    </w:p>
    <w:p w14:paraId="0FACC912" w14:textId="77777777" w:rsidR="003223D0" w:rsidRPr="004C20C3" w:rsidRDefault="003223D0" w:rsidP="003223D0">
      <w:pPr>
        <w:jc w:val="center"/>
        <w:rPr>
          <w:sz w:val="36"/>
          <w:szCs w:val="36"/>
        </w:rPr>
      </w:pPr>
      <w:r w:rsidRPr="004C20C3">
        <w:rPr>
          <w:sz w:val="36"/>
          <w:szCs w:val="36"/>
        </w:rPr>
        <w:t>Mogi das Cruzes</w:t>
      </w:r>
    </w:p>
    <w:p w14:paraId="72AA7534" w14:textId="77777777" w:rsidR="003223D0" w:rsidRPr="004C20C3" w:rsidRDefault="003223D0" w:rsidP="003223D0">
      <w:pPr>
        <w:jc w:val="center"/>
        <w:rPr>
          <w:sz w:val="40"/>
          <w:szCs w:val="40"/>
        </w:rPr>
      </w:pPr>
      <w:r w:rsidRPr="004C20C3">
        <w:rPr>
          <w:sz w:val="40"/>
          <w:szCs w:val="40"/>
        </w:rPr>
        <w:t>2026</w:t>
      </w:r>
    </w:p>
    <w:p w14:paraId="486C4861" w14:textId="77777777" w:rsidR="003223D0" w:rsidRPr="003223D0" w:rsidRDefault="003223D0" w:rsidP="003223D0">
      <w:pPr>
        <w:rPr>
          <w:sz w:val="28"/>
          <w:szCs w:val="28"/>
        </w:rPr>
      </w:pPr>
      <w:r w:rsidRPr="003223D0">
        <w:rPr>
          <w:sz w:val="28"/>
          <w:szCs w:val="28"/>
        </w:rPr>
        <w:lastRenderedPageBreak/>
        <w:t>A proteção do canal de comunicação e o armazenamento dos dados sensíveis do projeto integrador foram estruturados sob o princípio da segurança por omissão (</w:t>
      </w:r>
      <w:proofErr w:type="spellStart"/>
      <w:r w:rsidRPr="003223D0">
        <w:rPr>
          <w:sz w:val="28"/>
          <w:szCs w:val="28"/>
        </w:rPr>
        <w:t>Secure</w:t>
      </w:r>
      <w:proofErr w:type="spellEnd"/>
      <w:r w:rsidRPr="003223D0">
        <w:rPr>
          <w:sz w:val="28"/>
          <w:szCs w:val="28"/>
        </w:rPr>
        <w:t xml:space="preserve"> </w:t>
      </w:r>
      <w:proofErr w:type="spellStart"/>
      <w:r w:rsidRPr="003223D0">
        <w:rPr>
          <w:sz w:val="28"/>
          <w:szCs w:val="28"/>
        </w:rPr>
        <w:t>by</w:t>
      </w:r>
      <w:proofErr w:type="spellEnd"/>
      <w:r w:rsidRPr="003223D0">
        <w:rPr>
          <w:sz w:val="28"/>
          <w:szCs w:val="28"/>
        </w:rPr>
        <w:t xml:space="preserve"> Default). Na camada de trânsito, o sistema exige mandatoriamente o uso do protocolo criptográfico TLS/HTTPS, impedindo que requisições em texto claro trafeguem pela rede, neutralizando assim ataques do tipo Man-in-</w:t>
      </w:r>
      <w:proofErr w:type="spellStart"/>
      <w:r w:rsidRPr="003223D0">
        <w:rPr>
          <w:sz w:val="28"/>
          <w:szCs w:val="28"/>
        </w:rPr>
        <w:t>the</w:t>
      </w:r>
      <w:proofErr w:type="spellEnd"/>
      <w:r w:rsidRPr="003223D0">
        <w:rPr>
          <w:sz w:val="28"/>
          <w:szCs w:val="28"/>
        </w:rPr>
        <w:t>-Middle (</w:t>
      </w:r>
      <w:proofErr w:type="spellStart"/>
      <w:r w:rsidRPr="003223D0">
        <w:rPr>
          <w:sz w:val="28"/>
          <w:szCs w:val="28"/>
        </w:rPr>
        <w:t>MitM</w:t>
      </w:r>
      <w:proofErr w:type="spellEnd"/>
      <w:r w:rsidRPr="003223D0">
        <w:rPr>
          <w:sz w:val="28"/>
          <w:szCs w:val="28"/>
        </w:rPr>
        <w:t xml:space="preserve">). Qualquer tentativa de interação que contorne essa diretiva de segurança é imediatamente bloqueada pela infraestrutura de middlewares. </w:t>
      </w:r>
    </w:p>
    <w:p w14:paraId="7D219198" w14:textId="77777777" w:rsidR="003223D0" w:rsidRPr="003223D0" w:rsidRDefault="003223D0" w:rsidP="003223D0">
      <w:pPr>
        <w:rPr>
          <w:sz w:val="28"/>
          <w:szCs w:val="28"/>
        </w:rPr>
      </w:pPr>
      <w:r w:rsidRPr="003223D0">
        <w:rPr>
          <w:sz w:val="28"/>
          <w:szCs w:val="28"/>
        </w:rPr>
        <w:t>Para a persistência de dados de identificação pessoal, em estrita observância à Lei Geral de Proteção de Dados (LGPD), adotou-se o algoritmo de criptografia simétrica AES (</w:t>
      </w:r>
      <w:proofErr w:type="spellStart"/>
      <w:r w:rsidRPr="003223D0">
        <w:rPr>
          <w:sz w:val="28"/>
          <w:szCs w:val="28"/>
        </w:rPr>
        <w:t>Advanced</w:t>
      </w:r>
      <w:proofErr w:type="spellEnd"/>
      <w:r w:rsidRPr="003223D0">
        <w:rPr>
          <w:sz w:val="28"/>
          <w:szCs w:val="28"/>
        </w:rPr>
        <w:t xml:space="preserve"> </w:t>
      </w:r>
      <w:proofErr w:type="spellStart"/>
      <w:r w:rsidRPr="003223D0">
        <w:rPr>
          <w:sz w:val="28"/>
          <w:szCs w:val="28"/>
        </w:rPr>
        <w:t>Encryption</w:t>
      </w:r>
      <w:proofErr w:type="spellEnd"/>
      <w:r w:rsidRPr="003223D0">
        <w:rPr>
          <w:sz w:val="28"/>
          <w:szCs w:val="28"/>
        </w:rPr>
        <w:t xml:space="preserve"> Standard) operando em modo 256-GCM (</w:t>
      </w:r>
      <w:proofErr w:type="spellStart"/>
      <w:r w:rsidRPr="003223D0">
        <w:rPr>
          <w:sz w:val="28"/>
          <w:szCs w:val="28"/>
        </w:rPr>
        <w:t>Galois</w:t>
      </w:r>
      <w:proofErr w:type="spellEnd"/>
      <w:r w:rsidRPr="003223D0">
        <w:rPr>
          <w:sz w:val="28"/>
          <w:szCs w:val="28"/>
        </w:rPr>
        <w:t xml:space="preserve">/Counter </w:t>
      </w:r>
      <w:proofErr w:type="spellStart"/>
      <w:r w:rsidRPr="003223D0">
        <w:rPr>
          <w:sz w:val="28"/>
          <w:szCs w:val="28"/>
        </w:rPr>
        <w:t>Mode</w:t>
      </w:r>
      <w:proofErr w:type="spellEnd"/>
      <w:r w:rsidRPr="003223D0">
        <w:rPr>
          <w:sz w:val="28"/>
          <w:szCs w:val="28"/>
        </w:rPr>
        <w:t xml:space="preserve">). A escolha do modo GCM justifica-se por tratar-se de um esquema de criptografia autenticada (AEAD). Ele não apenas garante a confidencialidade dos dados armazenados no banco de dados, mas também gera uma </w:t>
      </w:r>
      <w:proofErr w:type="spellStart"/>
      <w:r w:rsidRPr="003223D0">
        <w:rPr>
          <w:sz w:val="28"/>
          <w:szCs w:val="28"/>
        </w:rPr>
        <w:t>tag</w:t>
      </w:r>
      <w:proofErr w:type="spellEnd"/>
      <w:r w:rsidRPr="003223D0">
        <w:rPr>
          <w:sz w:val="28"/>
          <w:szCs w:val="28"/>
        </w:rPr>
        <w:t xml:space="preserve"> de autenticação matemática de 16 bytes. Durante a leitura do dado, o sistema valida essa </w:t>
      </w:r>
      <w:proofErr w:type="spellStart"/>
      <w:r w:rsidRPr="003223D0">
        <w:rPr>
          <w:sz w:val="28"/>
          <w:szCs w:val="28"/>
        </w:rPr>
        <w:t>tag</w:t>
      </w:r>
      <w:proofErr w:type="spellEnd"/>
      <w:r w:rsidRPr="003223D0">
        <w:rPr>
          <w:sz w:val="28"/>
          <w:szCs w:val="28"/>
        </w:rPr>
        <w:t xml:space="preserve">; caso ocorra qualquer modificação não autorizada nos blocos cifrados (como ataques de injeção ou corrupção de dados), o decifrador rejeita a operação. Adicionalmente, as </w:t>
      </w:r>
      <w:proofErr w:type="gramStart"/>
      <w:r w:rsidRPr="003223D0">
        <w:rPr>
          <w:sz w:val="28"/>
          <w:szCs w:val="28"/>
        </w:rPr>
        <w:t>chaves mestres</w:t>
      </w:r>
      <w:proofErr w:type="gramEnd"/>
      <w:r w:rsidRPr="003223D0">
        <w:rPr>
          <w:sz w:val="28"/>
          <w:szCs w:val="28"/>
        </w:rPr>
        <w:t xml:space="preserve"> simétricas são apartadas do código-fonte e injetadas de forma isolada através de variáveis de ambiente em tempo de execução, impossibilitando vazamentos por meio de repositórios de código.</w:t>
      </w:r>
    </w:p>
    <w:p w14:paraId="4A73EB35" w14:textId="77777777" w:rsidR="003223D0" w:rsidRDefault="003223D0" w:rsidP="003223D0">
      <w:pPr>
        <w:rPr>
          <w:b/>
          <w:bCs/>
          <w:sz w:val="28"/>
          <w:szCs w:val="28"/>
        </w:rPr>
      </w:pPr>
    </w:p>
    <w:p w14:paraId="0DE8DE61" w14:textId="39A7F718" w:rsidR="003223D0" w:rsidRPr="003223D0" w:rsidRDefault="003223D0" w:rsidP="003223D0">
      <w:pPr>
        <w:jc w:val="center"/>
        <w:rPr>
          <w:b/>
          <w:bCs/>
          <w:sz w:val="28"/>
          <w:szCs w:val="28"/>
        </w:rPr>
      </w:pPr>
      <w:r w:rsidRPr="003223D0">
        <w:drawing>
          <wp:inline distT="0" distB="0" distL="0" distR="0" wp14:anchorId="7BBF34F9" wp14:editId="7DDCAC42">
            <wp:extent cx="4042992" cy="2778369"/>
            <wp:effectExtent l="0" t="0" r="0" b="3175"/>
            <wp:docPr id="2102695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1724" cy="283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FDB" w14:textId="77777777" w:rsidR="003223D0" w:rsidRDefault="003223D0" w:rsidP="003223D0">
      <w:pPr>
        <w:rPr>
          <w:sz w:val="32"/>
          <w:szCs w:val="32"/>
        </w:rPr>
      </w:pPr>
      <w:r>
        <w:rPr>
          <w:sz w:val="32"/>
          <w:szCs w:val="32"/>
        </w:rPr>
        <w:lastRenderedPageBreak/>
        <w:t>Pedro Augusto Torres Emerich – 11231103329</w:t>
      </w:r>
    </w:p>
    <w:p w14:paraId="1DDB6CCB" w14:textId="77777777" w:rsidR="003223D0" w:rsidRPr="004C20C3" w:rsidRDefault="003223D0" w:rsidP="003223D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Andre</w:t>
      </w:r>
      <w:proofErr w:type="spellEnd"/>
      <w:r>
        <w:rPr>
          <w:sz w:val="32"/>
          <w:szCs w:val="32"/>
        </w:rPr>
        <w:t xml:space="preserve"> Gustavo de Souza - </w:t>
      </w:r>
    </w:p>
    <w:p w14:paraId="051F4586" w14:textId="284E8948" w:rsidR="00230D79" w:rsidRDefault="00230D79"/>
    <w:sectPr w:rsidR="00230D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A09E8"/>
    <w:multiLevelType w:val="multilevel"/>
    <w:tmpl w:val="774E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7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3D0"/>
    <w:rsid w:val="00230D79"/>
    <w:rsid w:val="002A67C5"/>
    <w:rsid w:val="003223D0"/>
    <w:rsid w:val="0044598E"/>
    <w:rsid w:val="00DA3DC5"/>
    <w:rsid w:val="00D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04E64"/>
  <w15:chartTrackingRefBased/>
  <w15:docId w15:val="{5E89C9F1-E1C2-4FD6-AEA3-71D7D547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3D0"/>
  </w:style>
  <w:style w:type="paragraph" w:styleId="Ttulo1">
    <w:name w:val="heading 1"/>
    <w:basedOn w:val="Normal"/>
    <w:next w:val="Normal"/>
    <w:link w:val="Ttulo1Char"/>
    <w:uiPriority w:val="9"/>
    <w:qFormat/>
    <w:rsid w:val="00322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2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2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3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3D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3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3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3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3D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3D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255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Emerich</dc:creator>
  <cp:keywords/>
  <dc:description/>
  <cp:lastModifiedBy>Pedro Emerich</cp:lastModifiedBy>
  <cp:revision>1</cp:revision>
  <dcterms:created xsi:type="dcterms:W3CDTF">2026-05-20T16:41:00Z</dcterms:created>
  <dcterms:modified xsi:type="dcterms:W3CDTF">2026-05-20T16:45:00Z</dcterms:modified>
</cp:coreProperties>
</file>