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14851"/>
          <w:sz w:val="32"/>
        </w:rPr>
        <w:t>Descrierea proiectului și a tehnologiilor folosite</w:t>
      </w:r>
    </w:p>
    <w:p>
      <w:pPr>
        <w:jc w:val="center"/>
      </w:pPr>
      <w:r>
        <w:rPr>
          <w:rFonts w:ascii="Aptos" w:hAnsi="Aptos"/>
          <w:i/>
          <w:color w:val="4B585F"/>
          <w:sz w:val="22"/>
        </w:rPr>
        <w:t>Proiect: Santix</w:t>
      </w:r>
    </w:p>
    <w:p>
      <w:pPr>
        <w:spacing w:before="180" w:after="80"/>
      </w:pPr>
      <w:r>
        <w:rPr>
          <w:rFonts w:ascii="Aptos Display" w:hAnsi="Aptos Display"/>
          <w:b/>
          <w:color w:val="185A60"/>
          <w:sz w:val="26"/>
        </w:rPr>
        <w:t>1. Descrierea proiectului</w:t>
      </w:r>
    </w:p>
    <w:p>
      <w:pPr>
        <w:spacing w:after="140" w:line="259" w:lineRule="auto"/>
      </w:pPr>
      <w:r>
        <w:rPr>
          <w:rFonts w:ascii="Aptos" w:hAnsi="Aptos"/>
          <w:sz w:val="21"/>
        </w:rPr>
        <w:t>Santix este o aplicație web pe care am realizat-o în echipă pentru explorarea anatomiei umane într-un mod mai ușor de urmărit. Ideea principală este ca utilizatorul să poată vedea un model 3D, să selecteze o zonă sau o structură anatomică și să primească explicații clare, în limba română.</w:t>
      </w:r>
    </w:p>
    <w:p>
      <w:pPr>
        <w:spacing w:after="140" w:line="259" w:lineRule="auto"/>
      </w:pPr>
      <w:r>
        <w:rPr>
          <w:rFonts w:ascii="Aptos" w:hAnsi="Aptos"/>
          <w:sz w:val="21"/>
        </w:rPr>
        <w:t>Aplicația nu este gândită ca diagnostic medical, ci ca instrument educațional și orientativ. Pentru partea de durere/simptome, răspunsurile sunt tratate cu precauție și includ recomandări generale, fără a înlocui consultul unui specialist.</w:t>
      </w:r>
    </w:p>
    <w:p>
      <w:pPr>
        <w:spacing w:before="180" w:after="80"/>
      </w:pPr>
      <w:r>
        <w:rPr>
          <w:rFonts w:ascii="Aptos Display" w:hAnsi="Aptos Display"/>
          <w:b/>
          <w:color w:val="185A60"/>
          <w:sz w:val="26"/>
        </w:rPr>
        <w:t>2. Funcționalități principale</w:t>
      </w:r>
    </w:p>
    <w:p>
      <w:pPr>
        <w:pStyle w:val="ListBullet"/>
        <w:spacing w:after="60"/>
        <w:ind w:left="360"/>
      </w:pPr>
      <w:r>
        <w:rPr>
          <w:rFonts w:ascii="Aptos" w:hAnsi="Aptos"/>
          <w:sz w:val="21"/>
        </w:rPr>
        <w:t>vizualizare 3D a scheletului și a unor structuri musculare;</w:t>
      </w:r>
    </w:p>
    <w:p>
      <w:pPr>
        <w:pStyle w:val="ListBullet"/>
        <w:spacing w:after="60"/>
        <w:ind w:left="360"/>
      </w:pPr>
      <w:r>
        <w:rPr>
          <w:rFonts w:ascii="Aptos" w:hAnsi="Aptos"/>
          <w:sz w:val="21"/>
        </w:rPr>
        <w:t>selectarea unei structuri anatomice și afișarea detaliilor despre aceasta;</w:t>
      </w:r>
    </w:p>
    <w:p>
      <w:pPr>
        <w:pStyle w:val="ListBullet"/>
        <w:spacing w:after="60"/>
        <w:ind w:left="360"/>
      </w:pPr>
      <w:r>
        <w:rPr>
          <w:rFonts w:ascii="Aptos" w:hAnsi="Aptos"/>
          <w:sz w:val="21"/>
        </w:rPr>
        <w:t>denumiri anatomice în română, cu păstrarea denumirii științifice ca informație secundară;</w:t>
      </w:r>
    </w:p>
    <w:p>
      <w:pPr>
        <w:pStyle w:val="ListBullet"/>
        <w:spacing w:after="60"/>
        <w:ind w:left="360"/>
      </w:pPr>
      <w:r>
        <w:rPr>
          <w:rFonts w:ascii="Aptos" w:hAnsi="Aptos"/>
          <w:sz w:val="21"/>
        </w:rPr>
        <w:t>triaj local orientativ pentru durere, cu întrebări simple și răspunsuri nuanțate;</w:t>
      </w:r>
    </w:p>
    <w:p>
      <w:pPr>
        <w:pStyle w:val="ListBullet"/>
        <w:spacing w:after="60"/>
        <w:ind w:left="360"/>
      </w:pPr>
      <w:r>
        <w:rPr>
          <w:rFonts w:ascii="Aptos" w:hAnsi="Aptos"/>
          <w:sz w:val="21"/>
        </w:rPr>
        <w:t>conversație AI care folosește contextul structurii selectate și informațiile din baza de date;</w:t>
      </w:r>
    </w:p>
    <w:p>
      <w:pPr>
        <w:pStyle w:val="ListBullet"/>
        <w:spacing w:after="60"/>
        <w:ind w:left="360"/>
      </w:pPr>
      <w:r>
        <w:rPr>
          <w:rFonts w:ascii="Aptos" w:hAnsi="Aptos"/>
          <w:sz w:val="21"/>
        </w:rPr>
        <w:t>istoric al conversațiilor și salvarea stării conversației pentru continuarea discuției.</w:t>
      </w:r>
    </w:p>
    <w:p>
      <w:pPr>
        <w:spacing w:before="180" w:after="80"/>
      </w:pPr>
      <w:r>
        <w:rPr>
          <w:rFonts w:ascii="Aptos Display" w:hAnsi="Aptos Display"/>
          <w:b/>
          <w:color w:val="185A60"/>
          <w:sz w:val="26"/>
        </w:rPr>
        <w:t>3. Tehnologii folosite</w:t>
      </w:r>
    </w:p>
    <w:tbl>
      <w:tblPr>
        <w:tblStyle w:val="TableGrid"/>
        <w:tblW w:type="auto" w:w="0"/>
        <w:jc w:val="center"/>
        <w:tblLook w:firstColumn="1" w:firstRow="1" w:lastColumn="0" w:lastRow="0" w:noHBand="0" w:noVBand="1" w:val="04A0"/>
      </w:tblPr>
      <w:tblGrid>
        <w:gridCol w:w="5083"/>
        <w:gridCol w:w="5083"/>
      </w:tblGrid>
      <w:tr>
        <w:tc>
          <w:tcPr>
            <w:tcW w:type="dxa" w:w="5083"/>
            <w:shd w:fill="185A60"/>
            <w:vAlign w:val="center"/>
          </w:tcPr>
          <w:p>
            <w:r/>
            <w:r>
              <w:rPr>
                <w:rFonts w:ascii="Aptos" w:hAnsi="Aptos"/>
                <w:b/>
                <w:color w:val="FFFFFF"/>
                <w:sz w:val="20"/>
              </w:rPr>
              <w:t>Tehnologie</w:t>
            </w:r>
          </w:p>
        </w:tc>
        <w:tc>
          <w:tcPr>
            <w:tcW w:type="dxa" w:w="5083"/>
            <w:shd w:fill="185A60"/>
            <w:vAlign w:val="center"/>
          </w:tcPr>
          <w:p>
            <w:r/>
            <w:r>
              <w:rPr>
                <w:rFonts w:ascii="Aptos" w:hAnsi="Aptos"/>
                <w:b/>
                <w:color w:val="FFFFFF"/>
                <w:sz w:val="20"/>
              </w:rPr>
              <w:t>Cum este folosită în proiect</w:t>
            </w:r>
          </w:p>
        </w:tc>
      </w:tr>
      <w:tr>
        <w:tc>
          <w:tcPr>
            <w:tcW w:type="dxa" w:w="5083"/>
            <w:vAlign w:val="top"/>
          </w:tcPr>
          <w:p>
            <w:r/>
            <w:r>
              <w:rPr>
                <w:rFonts w:ascii="Aptos" w:hAnsi="Aptos"/>
                <w:b w:val="0"/>
                <w:sz w:val="20"/>
              </w:rPr>
              <w:t>React + TypeScript</w:t>
            </w:r>
          </w:p>
        </w:tc>
        <w:tc>
          <w:tcPr>
            <w:tcW w:type="dxa" w:w="5083"/>
            <w:vAlign w:val="top"/>
          </w:tcPr>
          <w:p>
            <w:r/>
            <w:r>
              <w:rPr>
                <w:rFonts w:ascii="Aptos" w:hAnsi="Aptos"/>
                <w:b w:val="0"/>
                <w:sz w:val="20"/>
              </w:rPr>
              <w:t>pentru interfața aplicației și componentele principale.</w:t>
            </w:r>
          </w:p>
        </w:tc>
      </w:tr>
      <w:tr>
        <w:tc>
          <w:tcPr>
            <w:tcW w:type="dxa" w:w="5083"/>
            <w:vAlign w:val="top"/>
          </w:tcPr>
          <w:p>
            <w:r/>
            <w:r>
              <w:rPr>
                <w:rFonts w:ascii="Aptos" w:hAnsi="Aptos"/>
                <w:b w:val="0"/>
                <w:sz w:val="20"/>
              </w:rPr>
              <w:t>TanStack Start / Router</w:t>
            </w:r>
          </w:p>
        </w:tc>
        <w:tc>
          <w:tcPr>
            <w:tcW w:type="dxa" w:w="5083"/>
            <w:vAlign w:val="top"/>
          </w:tcPr>
          <w:p>
            <w:r/>
            <w:r>
              <w:rPr>
                <w:rFonts w:ascii="Aptos" w:hAnsi="Aptos"/>
                <w:b w:val="0"/>
                <w:sz w:val="20"/>
              </w:rPr>
              <w:t>pentru structura aplicației, rutare și partea de server functions.</w:t>
            </w:r>
          </w:p>
        </w:tc>
      </w:tr>
      <w:tr>
        <w:tc>
          <w:tcPr>
            <w:tcW w:type="dxa" w:w="5083"/>
            <w:vAlign w:val="top"/>
          </w:tcPr>
          <w:p>
            <w:r/>
            <w:r>
              <w:rPr>
                <w:rFonts w:ascii="Aptos" w:hAnsi="Aptos"/>
                <w:b w:val="0"/>
                <w:sz w:val="20"/>
              </w:rPr>
              <w:t>Vite</w:t>
            </w:r>
          </w:p>
        </w:tc>
        <w:tc>
          <w:tcPr>
            <w:tcW w:type="dxa" w:w="5083"/>
            <w:vAlign w:val="top"/>
          </w:tcPr>
          <w:p>
            <w:r/>
            <w:r>
              <w:rPr>
                <w:rFonts w:ascii="Aptos" w:hAnsi="Aptos"/>
                <w:b w:val="0"/>
                <w:sz w:val="20"/>
              </w:rPr>
              <w:t>pentru rularea și construirea proiectului.</w:t>
            </w:r>
          </w:p>
        </w:tc>
      </w:tr>
      <w:tr>
        <w:tc>
          <w:tcPr>
            <w:tcW w:type="dxa" w:w="5083"/>
            <w:vAlign w:val="top"/>
          </w:tcPr>
          <w:p>
            <w:r/>
            <w:r>
              <w:rPr>
                <w:rFonts w:ascii="Aptos" w:hAnsi="Aptos"/>
                <w:b w:val="0"/>
                <w:sz w:val="20"/>
              </w:rPr>
              <w:t>Lovable (@lovable.dev/vite-tanstack-config)</w:t>
            </w:r>
          </w:p>
        </w:tc>
        <w:tc>
          <w:tcPr>
            <w:tcW w:type="dxa" w:w="5083"/>
            <w:vAlign w:val="top"/>
          </w:tcPr>
          <w:p>
            <w:r>
              <w:t>apare în cod ca pachet de configurare pentru Vite/TanStack; l-am folosit ca parte din setup-ul proiectului nostru, nu pentru logica medicală.</w:t>
            </w:r>
            <w:r>
              <w:rPr>
                <w:rFonts w:ascii="Aptos" w:hAnsi="Aptos"/>
                <w:b w:val="0"/>
                <w:sz w:val="20"/>
              </w:rPr>
            </w:r>
          </w:p>
        </w:tc>
      </w:tr>
      <w:tr>
        <w:tc>
          <w:tcPr>
            <w:tcW w:type="dxa" w:w="5083"/>
            <w:vAlign w:val="top"/>
          </w:tcPr>
          <w:p>
            <w:r/>
            <w:r>
              <w:rPr>
                <w:rFonts w:ascii="Aptos" w:hAnsi="Aptos"/>
                <w:b w:val="0"/>
                <w:sz w:val="20"/>
              </w:rPr>
              <w:t>Three.js, @react-three/fiber, @react-three/drei</w:t>
            </w:r>
          </w:p>
        </w:tc>
        <w:tc>
          <w:tcPr>
            <w:tcW w:type="dxa" w:w="5083"/>
            <w:vAlign w:val="top"/>
          </w:tcPr>
          <w:p>
            <w:r/>
            <w:r>
              <w:rPr>
                <w:rFonts w:ascii="Aptos" w:hAnsi="Aptos"/>
                <w:b w:val="0"/>
                <w:sz w:val="20"/>
              </w:rPr>
              <w:t>pentru afișarea modelului 3D și interacțiunea cu structurile anatomice.</w:t>
            </w:r>
          </w:p>
        </w:tc>
      </w:tr>
      <w:tr>
        <w:tc>
          <w:tcPr>
            <w:tcW w:type="dxa" w:w="5083"/>
            <w:vAlign w:val="top"/>
          </w:tcPr>
          <w:p>
            <w:r/>
            <w:r>
              <w:rPr>
                <w:rFonts w:ascii="Aptos" w:hAnsi="Aptos"/>
                <w:b w:val="0"/>
                <w:sz w:val="20"/>
              </w:rPr>
              <w:t>Tailwind CSS, Radix UI, lucide-react</w:t>
            </w:r>
          </w:p>
        </w:tc>
        <w:tc>
          <w:tcPr>
            <w:tcW w:type="dxa" w:w="5083"/>
            <w:vAlign w:val="top"/>
          </w:tcPr>
          <w:p>
            <w:r/>
            <w:r>
              <w:rPr>
                <w:rFonts w:ascii="Aptos" w:hAnsi="Aptos"/>
                <w:b w:val="0"/>
                <w:sz w:val="20"/>
              </w:rPr>
              <w:t>pentru stilizare, componente UI și iconuri.</w:t>
            </w:r>
          </w:p>
        </w:tc>
      </w:tr>
      <w:tr>
        <w:tc>
          <w:tcPr>
            <w:tcW w:type="dxa" w:w="5083"/>
            <w:vAlign w:val="top"/>
          </w:tcPr>
          <w:p>
            <w:r/>
            <w:r>
              <w:rPr>
                <w:rFonts w:ascii="Aptos" w:hAnsi="Aptos"/>
                <w:b w:val="0"/>
                <w:sz w:val="20"/>
              </w:rPr>
              <w:t>Supabase + PostgreSQL</w:t>
            </w:r>
          </w:p>
        </w:tc>
        <w:tc>
          <w:tcPr>
            <w:tcW w:type="dxa" w:w="5083"/>
            <w:vAlign w:val="top"/>
          </w:tcPr>
          <w:p>
            <w:r/>
            <w:r>
              <w:rPr>
                <w:rFonts w:ascii="Aptos" w:hAnsi="Aptos"/>
                <w:b w:val="0"/>
                <w:sz w:val="20"/>
              </w:rPr>
              <w:t>pentru autentificare, tabelele proiectului, conversații, mesaje și date anatomice.</w:t>
            </w:r>
          </w:p>
        </w:tc>
      </w:tr>
      <w:tr>
        <w:tc>
          <w:tcPr>
            <w:tcW w:type="dxa" w:w="5083"/>
            <w:vAlign w:val="top"/>
          </w:tcPr>
          <w:p>
            <w:r/>
            <w:r>
              <w:rPr>
                <w:rFonts w:ascii="Aptos" w:hAnsi="Aptos"/>
                <w:b w:val="0"/>
                <w:sz w:val="20"/>
              </w:rPr>
              <w:t>SQL migrations</w:t>
            </w:r>
          </w:p>
        </w:tc>
        <w:tc>
          <w:tcPr>
            <w:tcW w:type="dxa" w:w="5083"/>
            <w:vAlign w:val="top"/>
          </w:tcPr>
          <w:p>
            <w:r/>
            <w:r>
              <w:rPr>
                <w:rFonts w:ascii="Aptos" w:hAnsi="Aptos"/>
                <w:b w:val="0"/>
                <w:sz w:val="20"/>
              </w:rPr>
              <w:t>pentru modificările de schemă și popularea unor date folosite de aplicație.</w:t>
            </w:r>
          </w:p>
        </w:tc>
      </w:tr>
      <w:tr>
        <w:tc>
          <w:tcPr>
            <w:tcW w:type="dxa" w:w="5083"/>
            <w:vAlign w:val="top"/>
          </w:tcPr>
          <w:p>
            <w:r>
              <w:t>AI / embeddings / RAG / Ollama</w:t>
            </w:r>
          </w:p>
        </w:tc>
        <w:tc>
          <w:tcPr>
            <w:tcW w:type="dxa" w:w="5083"/>
            <w:vAlign w:val="top"/>
          </w:tcPr>
          <w:p>
            <w:r>
              <w:t>pentru a lega întrebările utilizatorului de informațiile existente în baza Santix; Ollama a fost folosit pentru rularea/testarea locală a modelelor AI.</w:t>
            </w:r>
          </w:p>
        </w:tc>
      </w:tr>
      <w:tr>
        <w:tc>
          <w:tcPr>
            <w:tcW w:type="dxa" w:w="5083"/>
            <w:vAlign w:val="top"/>
          </w:tcPr>
          <w:p>
            <w:r/>
            <w:r>
              <w:rPr>
                <w:rFonts w:ascii="Aptos" w:hAnsi="Aptos"/>
                <w:b w:val="0"/>
                <w:sz w:val="20"/>
              </w:rPr>
              <w:t>Playwright și teste TypeScript</w:t>
            </w:r>
          </w:p>
        </w:tc>
        <w:tc>
          <w:tcPr>
            <w:tcW w:type="dxa" w:w="5083"/>
            <w:vAlign w:val="top"/>
          </w:tcPr>
          <w:p>
            <w:r/>
            <w:r>
              <w:rPr>
                <w:rFonts w:ascii="Aptos" w:hAnsi="Aptos"/>
                <w:b w:val="0"/>
                <w:sz w:val="20"/>
              </w:rPr>
              <w:t>pentru verificarea unor scenarii importante din aplicație.</w:t>
            </w:r>
          </w:p>
        </w:tc>
      </w:tr>
    </w:tbl>
    <w:p>
      <w:pPr>
        <w:spacing w:before="180" w:after="80"/>
      </w:pPr>
      <w:r>
        <w:rPr>
          <w:rFonts w:ascii="Aptos Display" w:hAnsi="Aptos Display"/>
          <w:b/>
          <w:color w:val="185A60"/>
          <w:sz w:val="26"/>
        </w:rPr>
        <w:t>4. Baza de date și partea AI</w:t>
      </w:r>
    </w:p>
    <w:p>
      <w:pPr>
        <w:spacing w:after="140" w:line="259" w:lineRule="auto"/>
      </w:pPr>
      <w:r>
        <w:rPr>
          <w:rFonts w:ascii="Aptos" w:hAnsi="Aptos"/>
          <w:sz w:val="21"/>
        </w:rPr>
        <w:t>Datele importante ale aplicației sunt păstrate în Supabase. Pentru structurile anatomice urmăresc să existe nume prietenoase în română, denumiri științifice, aliasuri pentru căutare și legături către modelul 3D. În felul acesta, interfața nu trebuie să se bazeze doar pe texte hardcodate.</w:t>
      </w:r>
    </w:p>
    <w:p>
      <w:pPr>
        <w:spacing w:after="140" w:line="259" w:lineRule="auto"/>
      </w:pPr>
      <w:r>
        <w:rPr>
          <w:rFonts w:ascii="Aptos" w:hAnsi="Aptos"/>
          <w:sz w:val="21"/>
        </w:rPr>
        <w:t>Partea AI folosește structura selectată și contextul salvat în conversație. Scopul este ca răspunsurile să fie mai apropiate de zona aleasă de utilizator și să nu ofere explicații generale atunci când există context mai bun în baza de date.</w:t>
      </w:r>
    </w:p>
    <w:p>
      <w:pPr>
        <w:spacing w:before="180" w:after="80"/>
      </w:pPr>
      <w:r>
        <w:rPr>
          <w:rFonts w:ascii="Aptos Display" w:hAnsi="Aptos Display"/>
          <w:b/>
          <w:color w:val="185A60"/>
          <w:sz w:val="26"/>
        </w:rPr>
        <w:t>5. Observații</w:t>
      </w:r>
    </w:p>
    <w:p>
      <w:pPr>
        <w:spacing w:after="140" w:line="259" w:lineRule="auto"/>
      </w:pPr>
      <w:r>
        <w:rPr>
          <w:rFonts w:ascii="Aptos" w:hAnsi="Aptos"/>
          <w:sz w:val="21"/>
        </w:rPr>
        <w:t>Proiectul este în dezvoltare. În prezent lucrăm la curățarea denumirilor anatomice, la sincronizarea codului cu baza de date și la îmbunătățirea logicii de triaj, mai ales pentru structuri mici precum falangele/degetele. Am urmărit să păstrăm aplicația utilă, dar fără să exagereze concluziile medicale.</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