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Warehouse Automation Rollout</w:t>
      </w:r>
    </w:p>
    <w:p>
      <w:r>
        <w:t>This plan covers the phased rollout of the new pick-and-pack automation across the three regional warehouses.</w:t>
      </w:r>
    </w:p>
    <w:p>
      <w:pPr>
        <w:pStyle w:val="Heading1"/>
      </w:pPr>
      <w:r>
        <w:t>Phase 1: North Warehouse</w:t>
      </w:r>
    </w:p>
    <w:p>
      <w:r>
        <w:t>Installation begins the first week of Q4, with staff training running in parallel during the second week.</w:t>
      </w:r>
    </w:p>
    <w:p>
      <w:pPr>
        <w:pStyle w:val="ListBullet"/>
      </w:pPr>
      <w:r>
        <w:t>Conveyor belt replacement</w:t>
      </w:r>
    </w:p>
    <w:p>
      <w:pPr>
        <w:pStyle w:val="ListBullet"/>
      </w:pPr>
      <w:r>
        <w:t>Barcode scanner upgrade</w:t>
      </w:r>
    </w:p>
    <w:p>
      <w:pPr>
        <w:pStyle w:val="ListBullet"/>
      </w:pPr>
      <w:r>
        <w:t>Staff certification (2 days per shift)</w:t>
      </w:r>
    </w:p>
    <w:p>
      <w:pPr>
        <w:pStyle w:val="Heading1"/>
      </w:pPr>
      <w:r>
        <w:t>Phase 2: South and West Warehouses</w:t>
      </w:r>
    </w:p>
    <w:p>
      <w:r>
        <w:t>Rollout follows six weeks after North, once lessons learned from Phase 1 are folded into the installation checklist.</w:t>
      </w:r>
    </w:p>
    <w:p>
      <w:pPr>
        <w:pStyle w:val="Heading1"/>
      </w:pPr>
      <w:r>
        <w:t>Risks</w:t>
      </w:r>
    </w:p>
    <w:p>
      <w:r>
        <w:t>The main risk is parts lead time: conveyor motors currently run an eight week order-to-delivery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