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rPr>
        <w:t>INSTITUTO DE DIREITO PÚBLICO (IDP) — ASA NORTE</w:t>
      </w:r>
    </w:p>
    <w:p>
      <w:pPr>
        <w:jc w:val="center"/>
      </w:pPr>
      <w:r>
        <w:rPr>
          <w:b/>
          <w:i w:val="0"/>
        </w:rPr>
        <w:t>CURSO DE CIÊNCIAS DA COMPUTAÇÃO</w:t>
      </w:r>
    </w:p>
    <w:p/>
    <w:p/>
    <w:p/>
    <w:p/>
    <w:p/>
    <w:p/>
    <w:p>
      <w:pPr>
        <w:jc w:val="center"/>
      </w:pPr>
      <w:r>
        <w:rPr>
          <w:b/>
          <w:i w:val="0"/>
        </w:rPr>
        <w:t>PROPTECH ÁGUAS CLARAS: UM MODELO COMPUTACIONAL DE APOIO À DECISÃO IMOBILIÁRIA ORIENTADO À QUALIDADE DE VIDA</w:t>
      </w:r>
    </w:p>
    <w:p>
      <w:pPr>
        <w:jc w:val="center"/>
      </w:pPr>
      <w:r>
        <w:rPr>
          <w:b w:val="0"/>
          <w:i/>
        </w:rPr>
        <w:t>Modelagem por autômatos finitos, base relacional e análise de grafos</w:t>
      </w:r>
    </w:p>
    <w:p/>
    <w:p/>
    <w:p/>
    <w:p/>
    <w:p/>
    <w:p/>
    <w:p>
      <w:pPr>
        <w:jc w:val="center"/>
      </w:pPr>
      <w:r>
        <w:rPr>
          <w:b w:val="0"/>
          <w:i w:val="0"/>
        </w:rPr>
        <w:t>Grupo Imobiliária</w:t>
      </w:r>
    </w:p>
    <w:p>
      <w:pPr>
        <w:jc w:val="center"/>
      </w:pPr>
      <w:r>
        <w:rPr>
          <w:b w:val="0"/>
          <w:i/>
        </w:rPr>
        <w:t>[Nomes dos integrantes do grupo]</w:t>
      </w:r>
    </w:p>
    <w:p>
      <w:pPr>
        <w:jc w:val="center"/>
      </w:pPr>
      <w:r>
        <w:rPr>
          <w:b w:val="0"/>
          <w:i/>
        </w:rPr>
        <w:t>Disciplina: Teoria da Computação — Orientador(a): [nome]</w:t>
      </w:r>
    </w:p>
    <w:p/>
    <w:p/>
    <w:p/>
    <w:p/>
    <w:p/>
    <w:p/>
    <w:p>
      <w:pPr>
        <w:jc w:val="center"/>
      </w:pPr>
      <w:r>
        <w:rPr>
          <w:b w:val="0"/>
          <w:i w:val="0"/>
        </w:rPr>
        <w:t>Brasília</w:t>
      </w:r>
    </w:p>
    <w:p>
      <w:pPr>
        <w:jc w:val="center"/>
      </w:pPr>
      <w:r>
        <w:rPr>
          <w:b w:val="0"/>
          <w:i w:val="0"/>
        </w:rPr>
        <w:t>2026</w:t>
      </w:r>
    </w:p>
    <w:p>
      <w:r>
        <w:br w:type="page"/>
      </w:r>
    </w:p>
    <w:p>
      <w:pPr>
        <w:pStyle w:val="Heading1"/>
        <w:spacing w:before="240" w:after="120"/>
      </w:pPr>
      <w:r>
        <w:rPr>
          <w:rFonts w:ascii="Times New Roman" w:hAnsi="Times New Roman"/>
          <w:color w:val="000000"/>
        </w:rPr>
        <w:t>Resumo</w:t>
      </w:r>
    </w:p>
    <w:p>
      <w:pPr>
        <w:jc w:val="both"/>
      </w:pPr>
      <w:r>
        <w:rPr>
          <w:b w:val="0"/>
          <w:i w:val="0"/>
        </w:rPr>
        <w:t>Este trabalho propõe uma imobiliária orientada à qualidade de vida (proptech) para a região de Águas Claras, no Distrito Federal, capaz de recomendar imóveis a partir de critérios urbanos objetivos e mensuráveis. O problema é formalizado segundo a Teoria da Computação: o processo de recomendação é descrito por um autômato finito determinístico (AFD) cuja linguagem corresponde às execuções válidas do pipeline de decisão. Os imóveis e as facilities urbanas (escolas, hospitais, parques, farmácias e universidades) são estruturados em um modelo relacional e modelados como um grafo bipartido, no qual o peso das arestas é uma função inversa da distância. Sobre o grafo aplicam-se um escore multicritério dependente do perfil do morador e o algoritmo PageRank, produzindo um ranking de qualidade de vida. Os experimentos, conduzidos sobre um conjunto de 80 imóveis e 30 facilities, mostram que o ranking é sensível ao perfil — o que confirma a hipótese de que a modelagem em grafo e base relacional gera recomendações mais consistentes do que a busca convencional baseada apenas em preço e metragem. Discutem-se as limitações de dados, a sensibilidade aos pesos e os aspectos éticos e legais (LGPD) da coleta.</w:t>
      </w:r>
    </w:p>
    <w:p>
      <w:pPr>
        <w:jc w:val="both"/>
      </w:pPr>
      <w:r>
        <w:rPr>
          <w:b w:val="0"/>
          <w:i w:val="0"/>
        </w:rPr>
        <w:t>Palavras-chave: qualidade de vida; autômatos finitos; teoria dos grafos; PageRank; mercado imobiliário; proptech.</w:t>
      </w:r>
    </w:p>
    <w:p>
      <w:pPr>
        <w:pStyle w:val="Heading1"/>
        <w:spacing w:before="240" w:after="120"/>
      </w:pPr>
      <w:r>
        <w:rPr>
          <w:rFonts w:ascii="Times New Roman" w:hAnsi="Times New Roman"/>
          <w:color w:val="000000"/>
        </w:rPr>
        <w:t>Abstract</w:t>
      </w:r>
    </w:p>
    <w:p>
      <w:pPr>
        <w:jc w:val="both"/>
      </w:pPr>
      <w:r>
        <w:rPr>
          <w:b w:val="0"/>
          <w:i w:val="0"/>
        </w:rPr>
        <w:t>This work proposes a quality-of-life-oriented real estate platform (proptech) for Águas Claras, in the Brazilian Federal District, able to recommend properties based on objective and measurable urban criteria. The problem is formalized through Computation Theory: the recommendation process is described by a deterministic finite automaton (DFA) whose language corresponds to the valid executions of the decision pipeline. Properties and urban facilities are structured in a relational model and modeled as a bipartite graph in which edge weights are an inverse function of distance. A profile-dependent multicriteria score and the PageRank algorithm are applied over the graph to produce a quality-of-life ranking. Experiments show that the ranking is sensitive to the resident profile, supporting the hypothesis that graph and relational modeling yield more consistent recommendations than conventional price-and-area search.</w:t>
      </w:r>
    </w:p>
    <w:p>
      <w:pPr>
        <w:jc w:val="both"/>
      </w:pPr>
      <w:r>
        <w:rPr>
          <w:b w:val="0"/>
          <w:i w:val="0"/>
        </w:rPr>
        <w:t>Keywords: quality of life; finite automata; graph theory; PageRank; real estate; proptech.</w:t>
      </w:r>
    </w:p>
    <w:p>
      <w:pPr>
        <w:pStyle w:val="Heading1"/>
        <w:spacing w:before="240" w:after="120"/>
      </w:pPr>
      <w:r>
        <w:rPr>
          <w:rFonts w:ascii="Times New Roman" w:hAnsi="Times New Roman"/>
          <w:color w:val="000000"/>
        </w:rPr>
        <w:t>Sumário</w:t>
      </w:r>
    </w:p>
    <w:p>
      <w:r>
        <w:fldChar w:fldCharType="begin"/>
        <w:instrText xml:space="preserve">TOC \o "1-3" \h \z \u</w:instrText>
        <w:fldChar w:fldCharType="separate"/>
      </w:r>
      <w:r>
        <w:t xml:space="preserve">1 Introdução</w:t>
      </w:r>
      <w:r>
        <w:br/>
        <w:t xml:space="preserve">2 Fundamentação teórica</w:t>
      </w:r>
      <w:r>
        <w:br/>
        <w:t xml:space="preserve">    2.1 Qualidade de vida segundo a OMS</w:t>
      </w:r>
      <w:r>
        <w:br/>
        <w:t xml:space="preserve">    2.2 ODS 11 e cidades sustentáveis</w:t>
      </w:r>
      <w:r>
        <w:br/>
        <w:t xml:space="preserve">    2.3 Mercado imobiliário orientado a dados</w:t>
      </w:r>
      <w:r>
        <w:br/>
        <w:t xml:space="preserve">    2.4 Web scraping e coleta de dados</w:t>
      </w:r>
      <w:r>
        <w:br/>
        <w:t xml:space="preserve">    2.5 Bancos de dados relacionais</w:t>
      </w:r>
      <w:r>
        <w:br/>
        <w:t xml:space="preserve">    2.6 Teoria dos grafos e PageRank</w:t>
      </w:r>
      <w:r>
        <w:br/>
        <w:t xml:space="preserve">    2.7 Teoria da Computação: autômatos e linguagens</w:t>
      </w:r>
      <w:r>
        <w:br/>
        <w:t xml:space="preserve">3 Modelagem formal</w:t>
      </w:r>
      <w:r>
        <w:br/>
        <w:t xml:space="preserve">    3.1 Definição do autômato finito</w:t>
      </w:r>
      <w:r>
        <w:br/>
        <w:t xml:space="preserve">    3.2 Função de transição δ</w:t>
      </w:r>
      <w:r>
        <w:br/>
        <w:t xml:space="preserve">    3.3 Linguagem do processo</w:t>
      </w:r>
      <w:r>
        <w:br/>
        <w:t xml:space="preserve">    3.4 Formalização dos critérios computacionais</w:t>
      </w:r>
      <w:r>
        <w:br/>
        <w:t xml:space="preserve">4 Metodologia</w:t>
      </w:r>
      <w:r>
        <w:br/>
        <w:t xml:space="preserve">    4.1 Fontes e área de estudo</w:t>
      </w:r>
      <w:r>
        <w:br/>
        <w:t xml:space="preserve">    4.2 Técnica de coleta</w:t>
      </w:r>
      <w:r>
        <w:br/>
        <w:t xml:space="preserve">    4.3 Regras de limpeza</w:t>
      </w:r>
      <w:r>
        <w:br/>
        <w:t xml:space="preserve">    4.4 Modelagem relacional e dicionário de dados</w:t>
      </w:r>
      <w:r>
        <w:br/>
        <w:t xml:space="preserve">    4.5 Construção do grafo</w:t>
      </w:r>
      <w:r>
        <w:br/>
        <w:t xml:space="preserve">    4.6 Algoritmo e métricas de avaliação</w:t>
      </w:r>
      <w:r>
        <w:br/>
        <w:t xml:space="preserve">5 Resultados</w:t>
      </w:r>
      <w:r>
        <w:br/>
        <w:t xml:space="preserve">    5.1 Estatísticas dos imóveis coletados</w:t>
      </w:r>
      <w:r>
        <w:br/>
        <w:t xml:space="preserve">    5.2 Distribuição de preços</w:t>
      </w:r>
      <w:r>
        <w:br/>
        <w:t xml:space="preserve">    5.3 Grafo de facilities</w:t>
      </w:r>
      <w:r>
        <w:br/>
        <w:t xml:space="preserve">    5.4 Ranking de imóveis por perfil</w:t>
      </w:r>
      <w:r>
        <w:br/>
        <w:t xml:space="preserve">    5.5 Centralidades e análise do método</w:t>
      </w:r>
      <w:r>
        <w:br/>
        <w:t xml:space="preserve">6 Discussão</w:t>
      </w:r>
      <w:r>
        <w:br/>
        <w:t xml:space="preserve">7 Conclusão</w:t>
      </w:r>
      <w:r>
        <w:br/>
        <w:t xml:space="preserve">Referências</w:t>
      </w:r>
      <w:r>
        <w:br/>
        <w:t xml:space="preserve">Bibliografia</w:t>
      </w:r>
      <w:r>
        <w:fldChar w:fldCharType="end"/>
      </w:r>
    </w:p>
    <w:p>
      <w:r>
        <w:br w:type="page"/>
      </w:r>
    </w:p>
    <w:p>
      <w:pPr>
        <w:pStyle w:val="Heading1"/>
        <w:spacing w:before="240" w:after="120"/>
      </w:pPr>
      <w:r>
        <w:rPr>
          <w:rFonts w:ascii="Times New Roman" w:hAnsi="Times New Roman"/>
          <w:color w:val="000000"/>
        </w:rPr>
        <w:t>1 Introdução</w:t>
      </w:r>
    </w:p>
    <w:p>
      <w:pPr>
        <w:ind w:firstLine="709"/>
        <w:jc w:val="both"/>
      </w:pPr>
      <w:r>
        <w:rPr>
          <w:b w:val="0"/>
          <w:i w:val="0"/>
        </w:rPr>
        <w:t>A escolha de um imóvel transcende a transação comercial de metragem e preço: trata-se da seleção de um ambiente que sustente o bem-estar cotidiano do morador. Em Águas Claras, região administrativa do Distrito Federal marcada por intensa verticalização e por uma malha metroviária estruturante, a complexidade urbana exige instrumentos de decisão mais robustos do que os filtros tradicionais de busca.</w:t>
      </w:r>
    </w:p>
    <w:p>
      <w:pPr>
        <w:ind w:firstLine="709"/>
        <w:jc w:val="both"/>
      </w:pPr>
      <w:r>
        <w:rPr>
          <w:b w:val="0"/>
          <w:i w:val="0"/>
        </w:rPr>
        <w:t>O problema científico deste trabalho é assim formulado: como estruturar, do ponto de vista computacional, uma imobiliária capaz de recomendar imóveis em Águas Claras/DF com base em critérios objetivos de qualidade de vida, considerando variáveis urbanas, educacionais, sanitárias, comerciais e de mobilidade? A formulação dialoga com a definição de qualidade de vida da Organização Mundial da Saúde (WHOQOL GROUP, 1995) e com o Objetivo de Desenvolvimento Sustentável 11 da ONU (ONU, 2015), voltado a cidades inclusivas, seguras, resilientes e sustentáveis.</w:t>
      </w:r>
    </w:p>
    <w:p>
      <w:pPr>
        <w:ind w:firstLine="709"/>
        <w:jc w:val="both"/>
      </w:pPr>
      <w:r>
        <w:rPr>
          <w:b w:val="0"/>
          <w:i w:val="0"/>
        </w:rPr>
        <w:t>A motivação de negócio é operar como uma proptech, transformando o critério subjetivo de “morar bem” em um modelo matemático mensurável e auditável. A hipótese central é que a modelagem de imóveis e facilities urbanas em estrutura relacional e em grafo permite produzir rankings mais consistentes do que uma busca convencional baseada apenas em preço, metragem e número de quartos.</w:t>
      </w:r>
    </w:p>
    <w:p>
      <w:pPr>
        <w:ind w:firstLine="709"/>
        <w:jc w:val="both"/>
      </w:pPr>
      <w:r>
        <w:rPr>
          <w:b w:val="0"/>
          <w:i w:val="0"/>
        </w:rPr>
        <w:t>O objetivo geral é desenvolver uma proposta de imobiliária orientada à qualidade de vida para Águas Claras/DF, fundamentada em critérios urbanos objetivos, com coleta automatizada de dados, estruturação computacional e análise por grafos. Como objetivos específicos, destacam-se:</w:t>
      </w:r>
    </w:p>
    <w:p>
      <w:pPr>
        <w:pStyle w:val="ListBullet"/>
      </w:pPr>
      <w:r>
        <w:t>definir qualidade de vida com base em referências institucionais e acadêmicas;</w:t>
      </w:r>
    </w:p>
    <w:p>
      <w:pPr>
        <w:pStyle w:val="ListBullet"/>
      </w:pPr>
      <w:r>
        <w:t>justificar a escolha de Águas Claras como objeto de estudo;</w:t>
      </w:r>
    </w:p>
    <w:p>
      <w:pPr>
        <w:pStyle w:val="ListBullet"/>
      </w:pPr>
      <w:r>
        <w:t>levantar dados de imóveis e de facilities urbanas relevantes;</w:t>
      </w:r>
    </w:p>
    <w:p>
      <w:pPr>
        <w:pStyle w:val="ListBullet"/>
      </w:pPr>
      <w:r>
        <w:t>explicar e aplicar uma técnica legítima de coleta de dados;</w:t>
      </w:r>
    </w:p>
    <w:p>
      <w:pPr>
        <w:pStyle w:val="ListBullet"/>
      </w:pPr>
      <w:r>
        <w:t>estruturar os dados em CSV e em banco relacional;</w:t>
      </w:r>
    </w:p>
    <w:p>
      <w:pPr>
        <w:pStyle w:val="ListBullet"/>
      </w:pPr>
      <w:r>
        <w:t>modelar as relações entre imóveis e serviços urbanos como um grafo;</w:t>
      </w:r>
    </w:p>
    <w:p>
      <w:pPr>
        <w:pStyle w:val="ListBullet"/>
      </w:pPr>
      <w:r>
        <w:t>aplicar uma técnica analítica multicritério e o algoritmo PageRank;</w:t>
      </w:r>
    </w:p>
    <w:p>
      <w:pPr>
        <w:pStyle w:val="ListBullet"/>
      </w:pPr>
      <w:r>
        <w:t>produzir um ranking/sistema de recomendação de imóveis;</w:t>
      </w:r>
    </w:p>
    <w:p>
      <w:pPr>
        <w:pStyle w:val="ListBullet"/>
      </w:pPr>
      <w:r>
        <w:t>discutir limitações metodológicas, legais e éticas.</w:t>
      </w:r>
    </w:p>
    <w:p>
      <w:pPr>
        <w:pStyle w:val="Heading1"/>
        <w:spacing w:before="240" w:after="120"/>
      </w:pPr>
      <w:r>
        <w:rPr>
          <w:rFonts w:ascii="Times New Roman" w:hAnsi="Times New Roman"/>
          <w:color w:val="000000"/>
        </w:rPr>
        <w:t>2 Fundamentação teórica</w:t>
      </w:r>
    </w:p>
    <w:p>
      <w:pPr>
        <w:pStyle w:val="Heading2"/>
        <w:spacing w:before="240" w:after="120"/>
      </w:pPr>
      <w:r>
        <w:rPr>
          <w:rFonts w:ascii="Times New Roman" w:hAnsi="Times New Roman"/>
          <w:color w:val="000000"/>
        </w:rPr>
        <w:t>2.1 Qualidade de vida segundo a OMS</w:t>
      </w:r>
    </w:p>
    <w:p>
      <w:pPr>
        <w:ind w:firstLine="709"/>
        <w:jc w:val="both"/>
      </w:pPr>
      <w:r>
        <w:rPr>
          <w:b w:val="0"/>
          <w:i w:val="0"/>
        </w:rPr>
        <w:t>A Organização Mundial da Saúde, por meio do grupo WHOQOL, define qualidade de vida como “a percepção do indivíduo sobre sua posição na vida, no contexto da cultura e do sistema de valores em que vive e em relação a seus objetivos, expectativas, padrões e preocupações” (WHOQOL GROUP, 1995). Trata-se de um conceito multidimensional, que abrange saúde física, ambiente, relações sociais e acesso a serviços — dimensões que, no espaço urbano, se traduzem em proximidade a equipamentos públicos e privados.</w:t>
      </w:r>
    </w:p>
    <w:p>
      <w:pPr>
        <w:pStyle w:val="Heading2"/>
        <w:spacing w:before="240" w:after="120"/>
      </w:pPr>
      <w:r>
        <w:rPr>
          <w:rFonts w:ascii="Times New Roman" w:hAnsi="Times New Roman"/>
          <w:color w:val="000000"/>
        </w:rPr>
        <w:t>2.2 ODS 11 e cidades sustentáveis</w:t>
      </w:r>
    </w:p>
    <w:p>
      <w:pPr>
        <w:ind w:firstLine="709"/>
        <w:jc w:val="both"/>
      </w:pPr>
      <w:r>
        <w:rPr>
          <w:b w:val="0"/>
          <w:i w:val="0"/>
        </w:rPr>
        <w:t>O Objetivo de Desenvolvimento Sustentável 11 da Agenda 2030 (ONU, 2015) propõe “tornar as cidades e os assentamentos humanos inclusivos, seguros, resilientes e sustentáveis”. Em complemento, o City Prosperity Index da ONU-Habitat (ONU-HABITAT, 2022) operacionaliza a prosperidade urbana em dimensões mensuráveis, entre elas infraestrutura e qualidade de vida, fornecendo respaldo institucional para a construção de indicadores objetivos a partir de facilities urbanas.</w:t>
      </w:r>
    </w:p>
    <w:p>
      <w:pPr>
        <w:pStyle w:val="Heading2"/>
        <w:spacing w:before="240" w:after="120"/>
      </w:pPr>
      <w:r>
        <w:rPr>
          <w:rFonts w:ascii="Times New Roman" w:hAnsi="Times New Roman"/>
          <w:color w:val="000000"/>
        </w:rPr>
        <w:t>2.3 Mercado imobiliário orientado a dados</w:t>
      </w:r>
    </w:p>
    <w:p>
      <w:pPr>
        <w:ind w:firstLine="709"/>
        <w:jc w:val="both"/>
      </w:pPr>
      <w:r>
        <w:rPr>
          <w:b w:val="0"/>
          <w:i w:val="0"/>
        </w:rPr>
        <w:t>As proptechs são empresas que aplicam tecnologia a processos do setor imobiliário, da digitalização de contratos a sistemas de recomendação baseados em dados. Diferentemente da vitrine passiva da imobiliária tradicional, a proptech orientada a dados atua como motor de otimização, deslocando o foco do imóvel isolado para o seu contexto urbano.</w:t>
      </w:r>
    </w:p>
    <w:p>
      <w:pPr>
        <w:pStyle w:val="Heading2"/>
        <w:spacing w:before="240" w:after="120"/>
      </w:pPr>
      <w:r>
        <w:rPr>
          <w:rFonts w:ascii="Times New Roman" w:hAnsi="Times New Roman"/>
          <w:color w:val="000000"/>
        </w:rPr>
        <w:t>2.4 Web scraping e coleta de dados</w:t>
      </w:r>
    </w:p>
    <w:p>
      <w:pPr>
        <w:ind w:firstLine="709"/>
        <w:jc w:val="both"/>
      </w:pPr>
      <w:r>
        <w:rPr>
          <w:b w:val="0"/>
          <w:i w:val="0"/>
        </w:rPr>
        <w:t>Web scraping é a técnica de extração automatizada de dados de páginas web, em geral por meio da requisição de documentos HTML e da subsequente análise sintática (parsing) de seus elementos. No domínio imobiliário, permite obter atributos de anúncios públicos; quando combinada a bases geográficas abertas, como o OpenStreetMap (BOEING, 2017), possibilita georreferenciar imóveis e facilities. A coleta deve observar os termos de uso das fontes e a legislação de proteção de dados (BRASIL, 2018).</w:t>
      </w:r>
    </w:p>
    <w:p>
      <w:pPr>
        <w:pStyle w:val="Heading2"/>
        <w:spacing w:before="240" w:after="120"/>
      </w:pPr>
      <w:r>
        <w:rPr>
          <w:rFonts w:ascii="Times New Roman" w:hAnsi="Times New Roman"/>
          <w:color w:val="000000"/>
        </w:rPr>
        <w:t>2.5 Bancos de dados relacionais</w:t>
      </w:r>
    </w:p>
    <w:p>
      <w:pPr>
        <w:ind w:firstLine="709"/>
        <w:jc w:val="both"/>
      </w:pPr>
      <w:r>
        <w:rPr>
          <w:b w:val="0"/>
          <w:i w:val="0"/>
        </w:rPr>
        <w:t>O modelo relacional (CODD, 1970) organiza os dados em tabelas (relações) com chaves primárias e estrangeiras, garantindo integridade referencial e consultas declarativas via SQL. Essa estruturação é a base para a normalização dos dados coletados antes da modelagem analítica.</w:t>
      </w:r>
    </w:p>
    <w:p>
      <w:pPr>
        <w:pStyle w:val="Heading2"/>
        <w:spacing w:before="240" w:after="120"/>
      </w:pPr>
      <w:r>
        <w:rPr>
          <w:rFonts w:ascii="Times New Roman" w:hAnsi="Times New Roman"/>
          <w:color w:val="000000"/>
        </w:rPr>
        <w:t>2.6 Teoria dos grafos e PageRank</w:t>
      </w:r>
    </w:p>
    <w:p>
      <w:pPr>
        <w:ind w:firstLine="709"/>
        <w:jc w:val="both"/>
      </w:pPr>
      <w:r>
        <w:rPr>
          <w:b w:val="0"/>
          <w:i w:val="0"/>
        </w:rPr>
        <w:t>Um grafo G = (V, E) é um conjunto de vértices V e arestas E que representam relações entre pares de vértices (BARABÁSI, 2016). Métricas de centralidade quantificam a importância estrutural de cada vértice. O PageRank (PAGE et al., 1999), originalmente concebido para ordenar páginas web, atribui a cada vértice uma pontuação proporcional à relevância dos vértices que o referenciam, e é aplicável a redes urbanas para captar a conectividade de um imóvel à malha de serviços.</w:t>
      </w:r>
    </w:p>
    <w:p>
      <w:pPr>
        <w:pStyle w:val="Heading2"/>
        <w:spacing w:before="240" w:after="120"/>
      </w:pPr>
      <w:r>
        <w:rPr>
          <w:rFonts w:ascii="Times New Roman" w:hAnsi="Times New Roman"/>
          <w:color w:val="000000"/>
        </w:rPr>
        <w:t>2.7 Teoria da Computação: autômatos e linguagens</w:t>
      </w:r>
    </w:p>
    <w:p>
      <w:pPr>
        <w:ind w:firstLine="709"/>
        <w:jc w:val="both"/>
      </w:pPr>
      <w:r>
        <w:rPr>
          <w:b w:val="0"/>
          <w:i w:val="0"/>
        </w:rPr>
        <w:t>Um autômato finito determinístico (AFD) é uma máquina abstrata que reconhece linguagens regulares (SIPSER, 2012; HOPCROFT; MOTWANI; ULLMAN, 2006). Formalmente, é uma 5-tupla M = (Q, Σ, δ, q₀, F), em que Q é o conjunto finito de estados, Σ o alfabeto, δ a função de transição, q₀ o estado inicial e F o conjunto de estados de aceitação. Modelar o processo de recomendação como um AFD permite especificar formalmente quais sequências de operações constituem uma execução válida — articulação direta com a disciplina de Teoria da Computação.</w:t>
      </w:r>
    </w:p>
    <w:p>
      <w:pPr>
        <w:pStyle w:val="Heading1"/>
        <w:spacing w:before="240" w:after="120"/>
      </w:pPr>
      <w:r>
        <w:rPr>
          <w:rFonts w:ascii="Times New Roman" w:hAnsi="Times New Roman"/>
          <w:color w:val="000000"/>
        </w:rPr>
        <w:t>3 Modelagem formal</w:t>
      </w:r>
    </w:p>
    <w:p>
      <w:pPr>
        <w:pStyle w:val="Heading2"/>
        <w:spacing w:before="240" w:after="120"/>
      </w:pPr>
      <w:r>
        <w:rPr>
          <w:rFonts w:ascii="Times New Roman" w:hAnsi="Times New Roman"/>
          <w:color w:val="000000"/>
        </w:rPr>
        <w:t>3.1 Definição do autômato finito</w:t>
      </w:r>
    </w:p>
    <w:p>
      <w:pPr>
        <w:ind w:firstLine="709"/>
        <w:jc w:val="both"/>
      </w:pPr>
      <w:r>
        <w:rPr>
          <w:b w:val="0"/>
          <w:i w:val="0"/>
        </w:rPr>
        <w:t>O pipeline de decisão da proptech é modelado como o AFD M = (Q, Σ, δ, q₀, F), definido a seguir:</w:t>
      </w:r>
    </w:p>
    <w:p>
      <w:pPr>
        <w:spacing w:before="120" w:after="120"/>
        <w:jc w:val="center"/>
      </w:pPr>
      <w:r>
        <w:rPr>
          <w:i/>
          <w:sz w:val="24"/>
        </w:rPr>
        <w:t>M = (Q, Σ, δ, q₀, F)</w:t>
      </w:r>
    </w:p>
    <w:p>
      <w:pPr>
        <w:jc w:val="both"/>
      </w:pPr>
      <w:r>
        <w:rPr>
          <w:b w:val="0"/>
          <w:i w:val="0"/>
        </w:rPr>
        <w:t>Os estados representam os marcos do processamento:</w:t>
      </w:r>
    </w:p>
    <w:p>
      <w:pPr>
        <w:pStyle w:val="ListBullet"/>
      </w:pPr>
      <w:r>
        <w:t>q₀ — INÍCIO: nenhum dado coletado;</w:t>
      </w:r>
    </w:p>
    <w:p>
      <w:pPr>
        <w:pStyle w:val="ListBullet"/>
      </w:pPr>
      <w:r>
        <w:t>q₁ — INFRA_COLETADA: facilities urbanas extraídas;</w:t>
      </w:r>
    </w:p>
    <w:p>
      <w:pPr>
        <w:pStyle w:val="ListBullet"/>
      </w:pPr>
      <w:r>
        <w:t>q₂ — IMÓVEIS_COLETADOS: anúncios de imóveis coletados;</w:t>
      </w:r>
    </w:p>
    <w:p>
      <w:pPr>
        <w:pStyle w:val="ListBullet"/>
      </w:pPr>
      <w:r>
        <w:t>q₃ — GEOCODIFICADO: imóveis e facilities com coordenadas válidas;</w:t>
      </w:r>
    </w:p>
    <w:p>
      <w:pPr>
        <w:pStyle w:val="ListBullet"/>
      </w:pPr>
      <w:r>
        <w:t>q₄ — GRAFO_CONSTRUÍDO: grafo imóvel–facility com pesos calculados;</w:t>
      </w:r>
    </w:p>
    <w:p>
      <w:pPr>
        <w:pStyle w:val="ListBullet"/>
      </w:pPr>
      <w:r>
        <w:t>q₅ — RANKING_GERADO: ranking produzido (estado de aceitação);</w:t>
      </w:r>
    </w:p>
    <w:p>
      <w:pPr>
        <w:pStyle w:val="ListBullet"/>
      </w:pPr>
      <w:r>
        <w:t>qE — ERRO: estado-armadilha (dado inválido ou ordem incorreta).</w:t>
      </w:r>
    </w:p>
    <w:p>
      <w:pPr>
        <w:ind w:firstLine="709"/>
        <w:jc w:val="both"/>
      </w:pPr>
      <w:r>
        <w:rPr>
          <w:b w:val="0"/>
          <w:i w:val="0"/>
        </w:rPr>
        <w:t>O alfabeto Σ = {c, i, g, b, r, x} corresponde aos eventos atômicos do processo: c (coletar infraestrutura), i (coletar imóveis), g (geocodificar), b (construir grafo e pesos), r (gerar ranking) e x (evento de erro). O estado inicial é q₀ e F = {q₅}. A Figura 1 apresenta o diagrama de transição do autômato.</w:t>
      </w:r>
    </w:p>
    <w:p>
      <w:pPr>
        <w:jc w:val="center"/>
      </w:pPr>
      <w:r>
        <w:drawing>
          <wp:inline xmlns:a="http://schemas.openxmlformats.org/drawingml/2006/main" xmlns:pic="http://schemas.openxmlformats.org/drawingml/2006/picture">
            <wp:extent cx="5760000" cy="1983109"/>
            <wp:docPr id="1" name="Picture 1"/>
            <wp:cNvGraphicFramePr>
              <a:graphicFrameLocks noChangeAspect="1"/>
            </wp:cNvGraphicFramePr>
            <a:graphic>
              <a:graphicData uri="http://schemas.openxmlformats.org/drawingml/2006/picture">
                <pic:pic>
                  <pic:nvPicPr>
                    <pic:cNvPr id="0" name="diagrama_automato.png"/>
                    <pic:cNvPicPr/>
                  </pic:nvPicPr>
                  <pic:blipFill>
                    <a:blip r:embed="rId9"/>
                    <a:stretch>
                      <a:fillRect/>
                    </a:stretch>
                  </pic:blipFill>
                  <pic:spPr>
                    <a:xfrm>
                      <a:off x="0" y="0"/>
                      <a:ext cx="5760000" cy="1983109"/>
                    </a:xfrm>
                    <a:prstGeom prst="rect"/>
                  </pic:spPr>
                </pic:pic>
              </a:graphicData>
            </a:graphic>
          </wp:inline>
        </w:drawing>
      </w:r>
    </w:p>
    <w:p>
      <w:pPr>
        <w:jc w:val="center"/>
      </w:pPr>
      <w:r>
        <w:rPr>
          <w:b w:val="0"/>
          <w:i/>
          <w:sz w:val="20"/>
        </w:rPr>
        <w:t>Figura 1 — Diagrama de transição do AFD do pipeline de recomendação. Fonte: elaboração própria.</w:t>
      </w:r>
    </w:p>
    <w:p>
      <w:pPr>
        <w:pStyle w:val="Heading2"/>
        <w:spacing w:before="240" w:after="120"/>
      </w:pPr>
      <w:r>
        <w:rPr>
          <w:rFonts w:ascii="Times New Roman" w:hAnsi="Times New Roman"/>
          <w:color w:val="000000"/>
        </w:rPr>
        <w:t>3.2 Função de transição δ</w:t>
      </w:r>
    </w:p>
    <w:p>
      <w:pPr>
        <w:jc w:val="both"/>
      </w:pPr>
      <w:r>
        <w:rPr>
          <w:b w:val="0"/>
          <w:i w:val="0"/>
        </w:rPr>
        <w:t>A função de transição δ: Q × Σ → Q é apresentada na Tabela 1. Transições não previstas conduzem ao estado-armadilha qE, do qual não há retorno.</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Estado de origem</w:t>
            </w:r>
          </w:p>
        </w:tc>
        <w:tc>
          <w:tcPr>
            <w:tcW w:type="dxa" w:w="3024"/>
          </w:tcPr>
          <w:p>
            <w:r>
              <w:rPr>
                <w:b/>
                <w:sz w:val="20"/>
              </w:rPr>
              <w:t>Símbolo</w:t>
            </w:r>
          </w:p>
        </w:tc>
        <w:tc>
          <w:tcPr>
            <w:tcW w:type="dxa" w:w="3024"/>
          </w:tcPr>
          <w:p>
            <w:r>
              <w:rPr>
                <w:b/>
                <w:sz w:val="20"/>
              </w:rPr>
              <w:t>Estado de destino</w:t>
            </w:r>
          </w:p>
        </w:tc>
      </w:tr>
      <w:tr>
        <w:tc>
          <w:tcPr>
            <w:tcW w:type="dxa" w:w="3024"/>
          </w:tcPr>
          <w:p>
            <w:r>
              <w:rPr>
                <w:sz w:val="20"/>
              </w:rPr>
              <w:t>q0</w:t>
            </w:r>
          </w:p>
        </w:tc>
        <w:tc>
          <w:tcPr>
            <w:tcW w:type="dxa" w:w="3024"/>
          </w:tcPr>
          <w:p>
            <w:r>
              <w:rPr>
                <w:sz w:val="20"/>
              </w:rPr>
              <w:t>c</w:t>
            </w:r>
          </w:p>
        </w:tc>
        <w:tc>
          <w:tcPr>
            <w:tcW w:type="dxa" w:w="3024"/>
          </w:tcPr>
          <w:p>
            <w:r>
              <w:rPr>
                <w:sz w:val="20"/>
              </w:rPr>
              <w:t>q1</w:t>
            </w:r>
          </w:p>
        </w:tc>
      </w:tr>
      <w:tr>
        <w:tc>
          <w:tcPr>
            <w:tcW w:type="dxa" w:w="3024"/>
          </w:tcPr>
          <w:p>
            <w:r>
              <w:rPr>
                <w:sz w:val="20"/>
              </w:rPr>
              <w:t>q1</w:t>
            </w:r>
          </w:p>
        </w:tc>
        <w:tc>
          <w:tcPr>
            <w:tcW w:type="dxa" w:w="3024"/>
          </w:tcPr>
          <w:p>
            <w:r>
              <w:rPr>
                <w:sz w:val="20"/>
              </w:rPr>
              <w:t>i</w:t>
            </w:r>
          </w:p>
        </w:tc>
        <w:tc>
          <w:tcPr>
            <w:tcW w:type="dxa" w:w="3024"/>
          </w:tcPr>
          <w:p>
            <w:r>
              <w:rPr>
                <w:sz w:val="20"/>
              </w:rPr>
              <w:t>q2</w:t>
            </w:r>
          </w:p>
        </w:tc>
      </w:tr>
      <w:tr>
        <w:tc>
          <w:tcPr>
            <w:tcW w:type="dxa" w:w="3024"/>
          </w:tcPr>
          <w:p>
            <w:r>
              <w:rPr>
                <w:sz w:val="20"/>
              </w:rPr>
              <w:t>q2</w:t>
            </w:r>
          </w:p>
        </w:tc>
        <w:tc>
          <w:tcPr>
            <w:tcW w:type="dxa" w:w="3024"/>
          </w:tcPr>
          <w:p>
            <w:r>
              <w:rPr>
                <w:sz w:val="20"/>
              </w:rPr>
              <w:t>g</w:t>
            </w:r>
          </w:p>
        </w:tc>
        <w:tc>
          <w:tcPr>
            <w:tcW w:type="dxa" w:w="3024"/>
          </w:tcPr>
          <w:p>
            <w:r>
              <w:rPr>
                <w:sz w:val="20"/>
              </w:rPr>
              <w:t>q3</w:t>
            </w:r>
          </w:p>
        </w:tc>
      </w:tr>
      <w:tr>
        <w:tc>
          <w:tcPr>
            <w:tcW w:type="dxa" w:w="3024"/>
          </w:tcPr>
          <w:p>
            <w:r>
              <w:rPr>
                <w:sz w:val="20"/>
              </w:rPr>
              <w:t>q3</w:t>
            </w:r>
          </w:p>
        </w:tc>
        <w:tc>
          <w:tcPr>
            <w:tcW w:type="dxa" w:w="3024"/>
          </w:tcPr>
          <w:p>
            <w:r>
              <w:rPr>
                <w:sz w:val="20"/>
              </w:rPr>
              <w:t>b</w:t>
            </w:r>
          </w:p>
        </w:tc>
        <w:tc>
          <w:tcPr>
            <w:tcW w:type="dxa" w:w="3024"/>
          </w:tcPr>
          <w:p>
            <w:r>
              <w:rPr>
                <w:sz w:val="20"/>
              </w:rPr>
              <w:t>q4</w:t>
            </w:r>
          </w:p>
        </w:tc>
      </w:tr>
      <w:tr>
        <w:tc>
          <w:tcPr>
            <w:tcW w:type="dxa" w:w="3024"/>
          </w:tcPr>
          <w:p>
            <w:r>
              <w:rPr>
                <w:sz w:val="20"/>
              </w:rPr>
              <w:t>q4</w:t>
            </w:r>
          </w:p>
        </w:tc>
        <w:tc>
          <w:tcPr>
            <w:tcW w:type="dxa" w:w="3024"/>
          </w:tcPr>
          <w:p>
            <w:r>
              <w:rPr>
                <w:sz w:val="20"/>
              </w:rPr>
              <w:t>r</w:t>
            </w:r>
          </w:p>
        </w:tc>
        <w:tc>
          <w:tcPr>
            <w:tcW w:type="dxa" w:w="3024"/>
          </w:tcPr>
          <w:p>
            <w:r>
              <w:rPr>
                <w:sz w:val="20"/>
              </w:rPr>
              <w:t>q5</w:t>
            </w:r>
          </w:p>
        </w:tc>
      </w:tr>
    </w:tbl>
    <w:p>
      <w:pPr>
        <w:jc w:val="both"/>
      </w:pPr>
      <w:r>
        <w:rPr>
          <w:b w:val="0"/>
          <w:i/>
          <w:sz w:val="20"/>
        </w:rPr>
        <w:t>Tabela 1 — Transições válidas do AFD (demais combinações levam a qE). Fonte: elaboração própria.</w:t>
      </w:r>
    </w:p>
    <w:p>
      <w:pPr>
        <w:pStyle w:val="Heading2"/>
        <w:spacing w:before="240" w:after="120"/>
      </w:pPr>
      <w:r>
        <w:rPr>
          <w:rFonts w:ascii="Times New Roman" w:hAnsi="Times New Roman"/>
          <w:color w:val="000000"/>
        </w:rPr>
        <w:t>3.3 Linguagem do processo</w:t>
      </w:r>
    </w:p>
    <w:p>
      <w:pPr>
        <w:ind w:firstLine="709"/>
        <w:jc w:val="both"/>
      </w:pPr>
      <w:r>
        <w:rPr>
          <w:b w:val="0"/>
          <w:i w:val="0"/>
        </w:rPr>
        <w:t>A linguagem reconhecida pelo autômato é o conjunto das execuções completas e em ordem do pipeline:</w:t>
      </w:r>
    </w:p>
    <w:p>
      <w:pPr>
        <w:spacing w:before="120" w:after="120"/>
        <w:jc w:val="center"/>
      </w:pPr>
      <w:r>
        <w:rPr>
          <w:i/>
          <w:sz w:val="24"/>
        </w:rPr>
        <w:t>L(M) = { c i g b r }</w:t>
      </w:r>
    </w:p>
    <w:p>
      <w:pPr>
        <w:ind w:firstLine="709"/>
        <w:jc w:val="both"/>
      </w:pPr>
      <w:r>
        <w:rPr>
          <w:b w:val="0"/>
          <w:i w:val="0"/>
        </w:rPr>
        <w:t>Qualquer prefixo próprio representa um processo incompleto (não aceito) e qualquer desvio de ordem ou ocorrência do símbolo x conduz a qE (rejeição). Por ser finita, L(M) é trivialmente regular, o que justifica o emprego de um AFD. Em termos de negócio, isso garante que a imobiliária nunca entregue um ranking sem antes percorrer todas as etapas de coleta, estruturação e modelagem — evitando recomendações genéricas.</w:t>
      </w:r>
    </w:p>
    <w:p>
      <w:pPr>
        <w:pStyle w:val="Heading2"/>
        <w:spacing w:before="240" w:after="120"/>
      </w:pPr>
      <w:r>
        <w:rPr>
          <w:rFonts w:ascii="Times New Roman" w:hAnsi="Times New Roman"/>
          <w:color w:val="000000"/>
        </w:rPr>
        <w:t>3.4 Formalização dos critérios computacionais</w:t>
      </w:r>
    </w:p>
    <w:p>
      <w:pPr>
        <w:ind w:firstLine="709"/>
        <w:jc w:val="both"/>
      </w:pPr>
      <w:r>
        <w:rPr>
          <w:b w:val="0"/>
          <w:i w:val="0"/>
        </w:rPr>
        <w:t>Seja I o conjunto de imóveis e F o de facilities. Uma aresta liga o imóvel i à facility f quando a distância d(i, f) é inferior a um limiar (neste trabalho, 1500 m). O peso da aresta é dado por uma função inversa da distância (Equação 1), com d expresso em quilômetros:</w:t>
      </w:r>
    </w:p>
    <w:p>
      <w:pPr>
        <w:spacing w:before="120" w:after="120"/>
        <w:jc w:val="center"/>
      </w:pPr>
      <w:r>
        <w:rPr>
          <w:i/>
          <w:sz w:val="24"/>
        </w:rPr>
        <w:t>w(i, f) = 1 / (1 + d(i, f))            (1)</w:t>
      </w:r>
    </w:p>
    <w:p>
      <w:pPr>
        <w:ind w:firstLine="709"/>
        <w:jc w:val="both"/>
      </w:pPr>
      <w:r>
        <w:rPr>
          <w:b w:val="0"/>
          <w:i w:val="0"/>
        </w:rPr>
        <w:t>A acessibilidade de um imóvel a uma categoria de serviço é a soma dos pesos das arestas que o conectam às facilities daquela categoria. A partir dessas acessibilidades, define-se a função de pontuação (Equação 2):</w:t>
      </w:r>
    </w:p>
    <w:p>
      <w:pPr>
        <w:spacing w:before="120" w:after="120"/>
        <w:jc w:val="center"/>
      </w:pPr>
      <w:r>
        <w:rPr>
          <w:i/>
          <w:sz w:val="24"/>
        </w:rPr>
        <w:t>score(i) = α·E(i) + β·S(i) + γ·H(i) + δ·L(i) − λ·C(i)            (2)</w:t>
      </w:r>
    </w:p>
    <w:p>
      <w:pPr>
        <w:ind w:firstLine="709"/>
        <w:jc w:val="both"/>
      </w:pPr>
      <w:r>
        <w:rPr>
          <w:b w:val="0"/>
          <w:i w:val="0"/>
        </w:rPr>
        <w:t>em que E(i), S(i), H(i) e L(i) são, respectivamente, o acesso à educação, à saúde, ao comércio/serviços e ao lazer, e C(i) é o custo de moradia (penalização). Os pesos (α, β, γ, δ, λ) dependem do perfil-alvo, pois a qualidade de vida varia conforme o público. A Tabela 2 resume os pesos por categoria adotados para cada perfil.</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20"/>
              </w:rPr>
              <w:t>Perfil</w:t>
            </w:r>
          </w:p>
        </w:tc>
        <w:tc>
          <w:tcPr>
            <w:tcW w:type="dxa" w:w="1512"/>
          </w:tcPr>
          <w:p>
            <w:r>
              <w:rPr>
                <w:b/>
                <w:sz w:val="20"/>
              </w:rPr>
              <w:t>hospital</w:t>
            </w:r>
          </w:p>
        </w:tc>
        <w:tc>
          <w:tcPr>
            <w:tcW w:type="dxa" w:w="1512"/>
          </w:tcPr>
          <w:p>
            <w:r>
              <w:rPr>
                <w:b/>
                <w:sz w:val="20"/>
              </w:rPr>
              <w:t>school</w:t>
            </w:r>
          </w:p>
        </w:tc>
        <w:tc>
          <w:tcPr>
            <w:tcW w:type="dxa" w:w="1512"/>
          </w:tcPr>
          <w:p>
            <w:r>
              <w:rPr>
                <w:b/>
                <w:sz w:val="20"/>
              </w:rPr>
              <w:t>park</w:t>
            </w:r>
          </w:p>
        </w:tc>
        <w:tc>
          <w:tcPr>
            <w:tcW w:type="dxa" w:w="1512"/>
          </w:tcPr>
          <w:p>
            <w:r>
              <w:rPr>
                <w:b/>
                <w:sz w:val="20"/>
              </w:rPr>
              <w:t>pharmacy</w:t>
            </w:r>
          </w:p>
        </w:tc>
        <w:tc>
          <w:tcPr>
            <w:tcW w:type="dxa" w:w="1512"/>
          </w:tcPr>
          <w:p>
            <w:r>
              <w:rPr>
                <w:b/>
                <w:sz w:val="20"/>
              </w:rPr>
              <w:t>university</w:t>
            </w:r>
          </w:p>
        </w:tc>
      </w:tr>
      <w:tr>
        <w:tc>
          <w:tcPr>
            <w:tcW w:type="dxa" w:w="1512"/>
          </w:tcPr>
          <w:p>
            <w:r>
              <w:rPr>
                <w:sz w:val="20"/>
              </w:rPr>
              <w:t>familia</w:t>
            </w:r>
          </w:p>
        </w:tc>
        <w:tc>
          <w:tcPr>
            <w:tcW w:type="dxa" w:w="1512"/>
          </w:tcPr>
          <w:p>
            <w:r>
              <w:rPr>
                <w:sz w:val="20"/>
              </w:rPr>
              <w:t>0.25</w:t>
            </w:r>
          </w:p>
        </w:tc>
        <w:tc>
          <w:tcPr>
            <w:tcW w:type="dxa" w:w="1512"/>
          </w:tcPr>
          <w:p>
            <w:r>
              <w:rPr>
                <w:sz w:val="20"/>
              </w:rPr>
              <w:t>0.35</w:t>
            </w:r>
          </w:p>
        </w:tc>
        <w:tc>
          <w:tcPr>
            <w:tcW w:type="dxa" w:w="1512"/>
          </w:tcPr>
          <w:p>
            <w:r>
              <w:rPr>
                <w:sz w:val="20"/>
              </w:rPr>
              <w:t>0.2</w:t>
            </w:r>
          </w:p>
        </w:tc>
        <w:tc>
          <w:tcPr>
            <w:tcW w:type="dxa" w:w="1512"/>
          </w:tcPr>
          <w:p>
            <w:r>
              <w:rPr>
                <w:sz w:val="20"/>
              </w:rPr>
              <w:t>0.1</w:t>
            </w:r>
          </w:p>
        </w:tc>
        <w:tc>
          <w:tcPr>
            <w:tcW w:type="dxa" w:w="1512"/>
          </w:tcPr>
          <w:p>
            <w:r>
              <w:rPr>
                <w:sz w:val="20"/>
              </w:rPr>
              <w:t>0.1</w:t>
            </w:r>
          </w:p>
        </w:tc>
      </w:tr>
      <w:tr>
        <w:tc>
          <w:tcPr>
            <w:tcW w:type="dxa" w:w="1512"/>
          </w:tcPr>
          <w:p>
            <w:r>
              <w:rPr>
                <w:sz w:val="20"/>
              </w:rPr>
              <w:t>idoso</w:t>
            </w:r>
          </w:p>
        </w:tc>
        <w:tc>
          <w:tcPr>
            <w:tcW w:type="dxa" w:w="1512"/>
          </w:tcPr>
          <w:p>
            <w:r>
              <w:rPr>
                <w:sz w:val="20"/>
              </w:rPr>
              <w:t>0.4</w:t>
            </w:r>
          </w:p>
        </w:tc>
        <w:tc>
          <w:tcPr>
            <w:tcW w:type="dxa" w:w="1512"/>
          </w:tcPr>
          <w:p>
            <w:r>
              <w:rPr>
                <w:sz w:val="20"/>
              </w:rPr>
              <w:t>0.05</w:t>
            </w:r>
          </w:p>
        </w:tc>
        <w:tc>
          <w:tcPr>
            <w:tcW w:type="dxa" w:w="1512"/>
          </w:tcPr>
          <w:p>
            <w:r>
              <w:rPr>
                <w:sz w:val="20"/>
              </w:rPr>
              <w:t>0.15</w:t>
            </w:r>
          </w:p>
        </w:tc>
        <w:tc>
          <w:tcPr>
            <w:tcW w:type="dxa" w:w="1512"/>
          </w:tcPr>
          <w:p>
            <w:r>
              <w:rPr>
                <w:sz w:val="20"/>
              </w:rPr>
              <w:t>0.3</w:t>
            </w:r>
          </w:p>
        </w:tc>
        <w:tc>
          <w:tcPr>
            <w:tcW w:type="dxa" w:w="1512"/>
          </w:tcPr>
          <w:p>
            <w:r>
              <w:rPr>
                <w:sz w:val="20"/>
              </w:rPr>
              <w:t>0.1</w:t>
            </w:r>
          </w:p>
        </w:tc>
      </w:tr>
      <w:tr>
        <w:tc>
          <w:tcPr>
            <w:tcW w:type="dxa" w:w="1512"/>
          </w:tcPr>
          <w:p>
            <w:r>
              <w:rPr>
                <w:sz w:val="20"/>
              </w:rPr>
              <w:t>estudante</w:t>
            </w:r>
          </w:p>
        </w:tc>
        <w:tc>
          <w:tcPr>
            <w:tcW w:type="dxa" w:w="1512"/>
          </w:tcPr>
          <w:p>
            <w:r>
              <w:rPr>
                <w:sz w:val="20"/>
              </w:rPr>
              <w:t>0.2</w:t>
            </w:r>
          </w:p>
        </w:tc>
        <w:tc>
          <w:tcPr>
            <w:tcW w:type="dxa" w:w="1512"/>
          </w:tcPr>
          <w:p>
            <w:r>
              <w:rPr>
                <w:sz w:val="20"/>
              </w:rPr>
              <w:t>0.05</w:t>
            </w:r>
          </w:p>
        </w:tc>
        <w:tc>
          <w:tcPr>
            <w:tcW w:type="dxa" w:w="1512"/>
          </w:tcPr>
          <w:p>
            <w:r>
              <w:rPr>
                <w:sz w:val="20"/>
              </w:rPr>
              <w:t>0.15</w:t>
            </w:r>
          </w:p>
        </w:tc>
        <w:tc>
          <w:tcPr>
            <w:tcW w:type="dxa" w:w="1512"/>
          </w:tcPr>
          <w:p>
            <w:r>
              <w:rPr>
                <w:sz w:val="20"/>
              </w:rPr>
              <w:t>0.15</w:t>
            </w:r>
          </w:p>
        </w:tc>
        <w:tc>
          <w:tcPr>
            <w:tcW w:type="dxa" w:w="1512"/>
          </w:tcPr>
          <w:p>
            <w:r>
              <w:rPr>
                <w:sz w:val="20"/>
              </w:rPr>
              <w:t>0.45</w:t>
            </w:r>
          </w:p>
        </w:tc>
      </w:tr>
      <w:tr>
        <w:tc>
          <w:tcPr>
            <w:tcW w:type="dxa" w:w="1512"/>
          </w:tcPr>
          <w:p>
            <w:r>
              <w:rPr>
                <w:sz w:val="20"/>
              </w:rPr>
              <w:t>jovem_profissional</w:t>
            </w:r>
          </w:p>
        </w:tc>
        <w:tc>
          <w:tcPr>
            <w:tcW w:type="dxa" w:w="1512"/>
          </w:tcPr>
          <w:p>
            <w:r>
              <w:rPr>
                <w:sz w:val="20"/>
              </w:rPr>
              <w:t>0.25</w:t>
            </w:r>
          </w:p>
        </w:tc>
        <w:tc>
          <w:tcPr>
            <w:tcW w:type="dxa" w:w="1512"/>
          </w:tcPr>
          <w:p>
            <w:r>
              <w:rPr>
                <w:sz w:val="20"/>
              </w:rPr>
              <w:t>0.15</w:t>
            </w:r>
          </w:p>
        </w:tc>
        <w:tc>
          <w:tcPr>
            <w:tcW w:type="dxa" w:w="1512"/>
          </w:tcPr>
          <w:p>
            <w:r>
              <w:rPr>
                <w:sz w:val="20"/>
              </w:rPr>
              <w:t>0.3</w:t>
            </w:r>
          </w:p>
        </w:tc>
        <w:tc>
          <w:tcPr>
            <w:tcW w:type="dxa" w:w="1512"/>
          </w:tcPr>
          <w:p>
            <w:r>
              <w:rPr>
                <w:sz w:val="20"/>
              </w:rPr>
              <w:t>0.2</w:t>
            </w:r>
          </w:p>
        </w:tc>
        <w:tc>
          <w:tcPr>
            <w:tcW w:type="dxa" w:w="1512"/>
          </w:tcPr>
          <w:p>
            <w:r>
              <w:rPr>
                <w:sz w:val="20"/>
              </w:rPr>
              <w:t>0.1</w:t>
            </w:r>
          </w:p>
        </w:tc>
      </w:tr>
    </w:tbl>
    <w:p>
      <w:pPr>
        <w:jc w:val="both"/>
      </w:pPr>
      <w:r>
        <w:rPr>
          <w:b w:val="0"/>
          <w:i/>
          <w:sz w:val="20"/>
        </w:rPr>
        <w:t>Tabela 2 — Pesos por categoria de facility para cada perfil de morador. Fonte: elaboração própria.</w:t>
      </w:r>
    </w:p>
    <w:p>
      <w:pPr>
        <w:pStyle w:val="Heading1"/>
        <w:spacing w:before="240" w:after="120"/>
      </w:pPr>
      <w:r>
        <w:rPr>
          <w:rFonts w:ascii="Times New Roman" w:hAnsi="Times New Roman"/>
          <w:color w:val="000000"/>
        </w:rPr>
        <w:t>4 Metodologia</w:t>
      </w:r>
    </w:p>
    <w:p>
      <w:pPr>
        <w:pStyle w:val="Heading2"/>
        <w:spacing w:before="240" w:after="120"/>
      </w:pPr>
      <w:r>
        <w:rPr>
          <w:rFonts w:ascii="Times New Roman" w:hAnsi="Times New Roman"/>
          <w:color w:val="000000"/>
        </w:rPr>
        <w:t>4.1 Fontes e área de estudo</w:t>
      </w:r>
    </w:p>
    <w:p>
      <w:pPr>
        <w:ind w:firstLine="709"/>
        <w:jc w:val="both"/>
      </w:pPr>
      <w:r>
        <w:rPr>
          <w:b w:val="0"/>
          <w:i w:val="0"/>
        </w:rPr>
        <w:t>A área de estudo é a região administrativa de Águas Claras/DF. As facilities urbanas são obtidas do OpenStreetMap (BOEING, 2017) nas categorias hospital, escola, universidade, farmácia e parque. Os imóveis seriam coletados por web scraping em portais públicos; nesta etapa do trabalho, contudo, utiliza-se um conjunto simulado de imóveis (dado bruto sintético), o que constitui uma limitação metodológica explicitada na Seção 6.</w:t>
      </w:r>
    </w:p>
    <w:p>
      <w:pPr>
        <w:pStyle w:val="Heading2"/>
        <w:spacing w:before="240" w:after="120"/>
      </w:pPr>
      <w:r>
        <w:rPr>
          <w:rFonts w:ascii="Times New Roman" w:hAnsi="Times New Roman"/>
          <w:color w:val="000000"/>
        </w:rPr>
        <w:t>4.2 Técnica de coleta</w:t>
      </w:r>
    </w:p>
    <w:p>
      <w:pPr>
        <w:ind w:firstLine="709"/>
        <w:jc w:val="both"/>
      </w:pPr>
      <w:r>
        <w:rPr>
          <w:b w:val="0"/>
          <w:i w:val="0"/>
        </w:rPr>
        <w:t>A coleta de facilities emprega requisições à base aberta do OpenStreetMap, com posterior cálculo do centroide geográfico de cada geometria. A coleta de imóveis por web scraping deve respeitar os termos de uso dos portais e a LGPD (BRASIL, 2018), restringindo-se a dados públicos e anonimizando informações de proprietários.</w:t>
      </w:r>
    </w:p>
    <w:p>
      <w:pPr>
        <w:pStyle w:val="Heading2"/>
        <w:spacing w:before="240" w:after="120"/>
      </w:pPr>
      <w:r>
        <w:rPr>
          <w:rFonts w:ascii="Times New Roman" w:hAnsi="Times New Roman"/>
          <w:color w:val="000000"/>
        </w:rPr>
        <w:t>4.3 Regras de limpeza</w:t>
      </w:r>
    </w:p>
    <w:p>
      <w:pPr>
        <w:jc w:val="both"/>
      </w:pPr>
      <w:r>
        <w:rPr>
          <w:b w:val="0"/>
          <w:i w:val="0"/>
        </w:rPr>
        <w:t>Os dados brutos passam por sete regras de limpeza antes da análise, distinguindo dado bruto de dado tratado:</w:t>
      </w:r>
    </w:p>
    <w:p>
      <w:pPr>
        <w:pStyle w:val="ListBullet"/>
      </w:pPr>
      <w:r>
        <w:t>R1 — remoção de registros sem chave primária;</w:t>
      </w:r>
    </w:p>
    <w:p>
      <w:pPr>
        <w:pStyle w:val="ListBullet"/>
      </w:pPr>
      <w:r>
        <w:t>R2 — remoção de duplicatas por chave primária;</w:t>
      </w:r>
    </w:p>
    <w:p>
      <w:pPr>
        <w:pStyle w:val="ListBullet"/>
      </w:pPr>
      <w:r>
        <w:t>R3 — coerção de tipos e descarte de preço ou área não positivos;</w:t>
      </w:r>
    </w:p>
    <w:p>
      <w:pPr>
        <w:pStyle w:val="ListBullet"/>
      </w:pPr>
      <w:r>
        <w:t>R4 — validação de domínio (tipo, finalidade, contagens não negativas);</w:t>
      </w:r>
    </w:p>
    <w:p>
      <w:pPr>
        <w:pStyle w:val="ListBullet"/>
      </w:pPr>
      <w:r>
        <w:t>R5 — validação de coordenadas no retângulo de Águas Claras;</w:t>
      </w:r>
    </w:p>
    <w:p>
      <w:pPr>
        <w:pStyle w:val="ListBullet"/>
      </w:pPr>
      <w:r>
        <w:t>R6 — normalização de texto (remoção de espaços supérfluos);</w:t>
      </w:r>
    </w:p>
    <w:p>
      <w:pPr>
        <w:pStyle w:val="ListBullet"/>
      </w:pPr>
      <w:r>
        <w:t>R7 — integridade referencial entre proximidade, imóvel e facility.</w:t>
      </w:r>
    </w:p>
    <w:p>
      <w:pPr>
        <w:pStyle w:val="Heading2"/>
        <w:spacing w:before="240" w:after="120"/>
      </w:pPr>
      <w:r>
        <w:rPr>
          <w:rFonts w:ascii="Times New Roman" w:hAnsi="Times New Roman"/>
          <w:color w:val="000000"/>
        </w:rPr>
        <w:t>4.4 Modelagem relacional e dicionário de dados</w:t>
      </w:r>
    </w:p>
    <w:p>
      <w:pPr>
        <w:ind w:firstLine="709"/>
        <w:jc w:val="both"/>
      </w:pPr>
      <w:r>
        <w:rPr>
          <w:b w:val="0"/>
          <w:i w:val="0"/>
        </w:rPr>
        <w:t>Os dados tratados são estruturados em quatro tabelas — imovel, facility, categoria_facility e proximidade — exportadas em CSV e carregadas em um banco SQLite com chaves primárias e estrangeiras. A Tabela 3 apresenta um extrato do dicionário de dados.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Tabela</w:t>
            </w:r>
          </w:p>
        </w:tc>
        <w:tc>
          <w:tcPr>
            <w:tcW w:type="dxa" w:w="2268"/>
          </w:tcPr>
          <w:p>
            <w:r>
              <w:rPr>
                <w:b/>
                <w:sz w:val="20"/>
              </w:rPr>
              <w:t>Campo</w:t>
            </w:r>
          </w:p>
        </w:tc>
        <w:tc>
          <w:tcPr>
            <w:tcW w:type="dxa" w:w="2268"/>
          </w:tcPr>
          <w:p>
            <w:r>
              <w:rPr>
                <w:b/>
                <w:sz w:val="20"/>
              </w:rPr>
              <w:t>Tipo</w:t>
            </w:r>
          </w:p>
        </w:tc>
        <w:tc>
          <w:tcPr>
            <w:tcW w:type="dxa" w:w="2268"/>
          </w:tcPr>
          <w:p>
            <w:r>
              <w:rPr>
                <w:b/>
                <w:sz w:val="20"/>
              </w:rPr>
              <w:t>Descrição</w:t>
            </w:r>
          </w:p>
        </w:tc>
      </w:tr>
      <w:tr>
        <w:tc>
          <w:tcPr>
            <w:tcW w:type="dxa" w:w="2268"/>
          </w:tcPr>
          <w:p>
            <w:r>
              <w:rPr>
                <w:sz w:val="20"/>
              </w:rPr>
              <w:t>imovel</w:t>
            </w:r>
          </w:p>
        </w:tc>
        <w:tc>
          <w:tcPr>
            <w:tcW w:type="dxa" w:w="2268"/>
          </w:tcPr>
          <w:p>
            <w:r>
              <w:rPr>
                <w:sz w:val="20"/>
              </w:rPr>
              <w:t>id_imovel</w:t>
            </w:r>
          </w:p>
        </w:tc>
        <w:tc>
          <w:tcPr>
            <w:tcW w:type="dxa" w:w="2268"/>
          </w:tcPr>
          <w:p>
            <w:r>
              <w:rPr>
                <w:sz w:val="20"/>
              </w:rPr>
              <w:t>TEXT (PK)</w:t>
            </w:r>
          </w:p>
        </w:tc>
        <w:tc>
          <w:tcPr>
            <w:tcW w:type="dxa" w:w="2268"/>
          </w:tcPr>
          <w:p>
            <w:r>
              <w:rPr>
                <w:sz w:val="20"/>
              </w:rPr>
              <w:t>Identificador do imóvel</w:t>
            </w:r>
          </w:p>
        </w:tc>
      </w:tr>
      <w:tr>
        <w:tc>
          <w:tcPr>
            <w:tcW w:type="dxa" w:w="2268"/>
          </w:tcPr>
          <w:p>
            <w:r>
              <w:rPr>
                <w:sz w:val="20"/>
              </w:rPr>
              <w:t>imovel</w:t>
            </w:r>
          </w:p>
        </w:tc>
        <w:tc>
          <w:tcPr>
            <w:tcW w:type="dxa" w:w="2268"/>
          </w:tcPr>
          <w:p>
            <w:r>
              <w:rPr>
                <w:sz w:val="20"/>
              </w:rPr>
              <w:t>preco</w:t>
            </w:r>
          </w:p>
        </w:tc>
        <w:tc>
          <w:tcPr>
            <w:tcW w:type="dxa" w:w="2268"/>
          </w:tcPr>
          <w:p>
            <w:r>
              <w:rPr>
                <w:sz w:val="20"/>
              </w:rPr>
              <w:t>REAL</w:t>
            </w:r>
          </w:p>
        </w:tc>
        <w:tc>
          <w:tcPr>
            <w:tcW w:type="dxa" w:w="2268"/>
          </w:tcPr>
          <w:p>
            <w:r>
              <w:rPr>
                <w:sz w:val="20"/>
              </w:rPr>
              <w:t>Preço de venda/aluguel (R$)</w:t>
            </w:r>
          </w:p>
        </w:tc>
      </w:tr>
      <w:tr>
        <w:tc>
          <w:tcPr>
            <w:tcW w:type="dxa" w:w="2268"/>
          </w:tcPr>
          <w:p>
            <w:r>
              <w:rPr>
                <w:sz w:val="20"/>
              </w:rPr>
              <w:t>imovel</w:t>
            </w:r>
          </w:p>
        </w:tc>
        <w:tc>
          <w:tcPr>
            <w:tcW w:type="dxa" w:w="2268"/>
          </w:tcPr>
          <w:p>
            <w:r>
              <w:rPr>
                <w:sz w:val="20"/>
              </w:rPr>
              <w:t>area_m2</w:t>
            </w:r>
          </w:p>
        </w:tc>
        <w:tc>
          <w:tcPr>
            <w:tcW w:type="dxa" w:w="2268"/>
          </w:tcPr>
          <w:p>
            <w:r>
              <w:rPr>
                <w:sz w:val="20"/>
              </w:rPr>
              <w:t>REAL</w:t>
            </w:r>
          </w:p>
        </w:tc>
        <w:tc>
          <w:tcPr>
            <w:tcW w:type="dxa" w:w="2268"/>
          </w:tcPr>
          <w:p>
            <w:r>
              <w:rPr>
                <w:sz w:val="20"/>
              </w:rPr>
              <w:t>Área útil (m²)</w:t>
            </w:r>
          </w:p>
        </w:tc>
      </w:tr>
      <w:tr>
        <w:tc>
          <w:tcPr>
            <w:tcW w:type="dxa" w:w="2268"/>
          </w:tcPr>
          <w:p>
            <w:r>
              <w:rPr>
                <w:sz w:val="20"/>
              </w:rPr>
              <w:t>facility</w:t>
            </w:r>
          </w:p>
        </w:tc>
        <w:tc>
          <w:tcPr>
            <w:tcW w:type="dxa" w:w="2268"/>
          </w:tcPr>
          <w:p>
            <w:r>
              <w:rPr>
                <w:sz w:val="20"/>
              </w:rPr>
              <w:t>id_facility</w:t>
            </w:r>
          </w:p>
        </w:tc>
        <w:tc>
          <w:tcPr>
            <w:tcW w:type="dxa" w:w="2268"/>
          </w:tcPr>
          <w:p>
            <w:r>
              <w:rPr>
                <w:sz w:val="20"/>
              </w:rPr>
              <w:t>TEXT (PK)</w:t>
            </w:r>
          </w:p>
        </w:tc>
        <w:tc>
          <w:tcPr>
            <w:tcW w:type="dxa" w:w="2268"/>
          </w:tcPr>
          <w:p>
            <w:r>
              <w:rPr>
                <w:sz w:val="20"/>
              </w:rPr>
              <w:t>Identificador da facility</w:t>
            </w:r>
          </w:p>
        </w:tc>
      </w:tr>
      <w:tr>
        <w:tc>
          <w:tcPr>
            <w:tcW w:type="dxa" w:w="2268"/>
          </w:tcPr>
          <w:p>
            <w:r>
              <w:rPr>
                <w:sz w:val="20"/>
              </w:rPr>
              <w:t>facility</w:t>
            </w:r>
          </w:p>
        </w:tc>
        <w:tc>
          <w:tcPr>
            <w:tcW w:type="dxa" w:w="2268"/>
          </w:tcPr>
          <w:p>
            <w:r>
              <w:rPr>
                <w:sz w:val="20"/>
              </w:rPr>
              <w:t>categoria</w:t>
            </w:r>
          </w:p>
        </w:tc>
        <w:tc>
          <w:tcPr>
            <w:tcW w:type="dxa" w:w="2268"/>
          </w:tcPr>
          <w:p>
            <w:r>
              <w:rPr>
                <w:sz w:val="20"/>
              </w:rPr>
              <w:t>TEXT (FK)</w:t>
            </w:r>
          </w:p>
        </w:tc>
        <w:tc>
          <w:tcPr>
            <w:tcW w:type="dxa" w:w="2268"/>
          </w:tcPr>
          <w:p>
            <w:r>
              <w:rPr>
                <w:sz w:val="20"/>
              </w:rPr>
              <w:t>Categoria do serviço</w:t>
            </w:r>
          </w:p>
        </w:tc>
      </w:tr>
      <w:tr>
        <w:tc>
          <w:tcPr>
            <w:tcW w:type="dxa" w:w="2268"/>
          </w:tcPr>
          <w:p>
            <w:r>
              <w:rPr>
                <w:sz w:val="20"/>
              </w:rPr>
              <w:t>proximidade</w:t>
            </w:r>
          </w:p>
        </w:tc>
        <w:tc>
          <w:tcPr>
            <w:tcW w:type="dxa" w:w="2268"/>
          </w:tcPr>
          <w:p>
            <w:r>
              <w:rPr>
                <w:sz w:val="20"/>
              </w:rPr>
              <w:t>distancia_metros</w:t>
            </w:r>
          </w:p>
        </w:tc>
        <w:tc>
          <w:tcPr>
            <w:tcW w:type="dxa" w:w="2268"/>
          </w:tcPr>
          <w:p>
            <w:r>
              <w:rPr>
                <w:sz w:val="20"/>
              </w:rPr>
              <w:t>REAL</w:t>
            </w:r>
          </w:p>
        </w:tc>
        <w:tc>
          <w:tcPr>
            <w:tcW w:type="dxa" w:w="2268"/>
          </w:tcPr>
          <w:p>
            <w:r>
              <w:rPr>
                <w:sz w:val="20"/>
              </w:rPr>
              <w:t>Distância imóvel–facility (m)</w:t>
            </w:r>
          </w:p>
        </w:tc>
      </w:tr>
      <w:tr>
        <w:tc>
          <w:tcPr>
            <w:tcW w:type="dxa" w:w="2268"/>
          </w:tcPr>
          <w:p>
            <w:r>
              <w:rPr>
                <w:sz w:val="20"/>
              </w:rPr>
              <w:t>proximidade</w:t>
            </w:r>
          </w:p>
        </w:tc>
        <w:tc>
          <w:tcPr>
            <w:tcW w:type="dxa" w:w="2268"/>
          </w:tcPr>
          <w:p>
            <w:r>
              <w:rPr>
                <w:sz w:val="20"/>
              </w:rPr>
              <w:t>peso_relacional</w:t>
            </w:r>
          </w:p>
        </w:tc>
        <w:tc>
          <w:tcPr>
            <w:tcW w:type="dxa" w:w="2268"/>
          </w:tcPr>
          <w:p>
            <w:r>
              <w:rPr>
                <w:sz w:val="20"/>
              </w:rPr>
              <w:t>REAL</w:t>
            </w:r>
          </w:p>
        </w:tc>
        <w:tc>
          <w:tcPr>
            <w:tcW w:type="dxa" w:w="2268"/>
          </w:tcPr>
          <w:p>
            <w:r>
              <w:rPr>
                <w:sz w:val="20"/>
              </w:rPr>
              <w:t>Peso da aresta w(i,f)</w:t>
            </w:r>
          </w:p>
        </w:tc>
      </w:tr>
    </w:tbl>
    <w:p>
      <w:pPr>
        <w:jc w:val="both"/>
      </w:pPr>
      <w:r>
        <w:rPr>
          <w:b w:val="0"/>
          <w:i/>
          <w:sz w:val="20"/>
        </w:rPr>
        <w:t>Tabela 3 — Extrato do dicionário de dados. Fonte: elaboração própria.</w:t>
      </w:r>
    </w:p>
    <w:p>
      <w:pPr>
        <w:pStyle w:val="Heading2"/>
        <w:spacing w:before="240" w:after="120"/>
      </w:pPr>
      <w:r>
        <w:rPr>
          <w:rFonts w:ascii="Times New Roman" w:hAnsi="Times New Roman"/>
          <w:color w:val="000000"/>
        </w:rPr>
        <w:t>4.5 Construção do grafo</w:t>
      </w:r>
    </w:p>
    <w:p>
      <w:pPr>
        <w:ind w:firstLine="709"/>
        <w:jc w:val="both"/>
      </w:pPr>
      <w:r>
        <w:rPr>
          <w:b w:val="0"/>
          <w:i w:val="0"/>
        </w:rPr>
        <w:t>Constrói-se um grafo bipartido cujos vértices são imóveis e facilities. Para cada par imóvel–facility calcula-se a distância geodésica pela fórmula de Haversine; cria-se uma aresta quando a distância é inferior ao limiar de 1500 m, com peso dado pela Equação 1. O grafo é implementado com a biblioteca NetworkX.</w:t>
      </w:r>
    </w:p>
    <w:p>
      <w:pPr>
        <w:pStyle w:val="Heading2"/>
        <w:spacing w:before="240" w:after="120"/>
      </w:pPr>
      <w:r>
        <w:rPr>
          <w:rFonts w:ascii="Times New Roman" w:hAnsi="Times New Roman"/>
          <w:color w:val="000000"/>
        </w:rPr>
        <w:t>4.6 Algoritmo e métricas de avaliação</w:t>
      </w:r>
    </w:p>
    <w:p>
      <w:pPr>
        <w:ind w:firstLine="709"/>
        <w:jc w:val="both"/>
      </w:pPr>
      <w:r>
        <w:rPr>
          <w:b w:val="0"/>
          <w:i w:val="0"/>
        </w:rPr>
        <w:t>Sobre o grafo aplicam-se: (i) o escore multicritério da Equação 2, normalizado e ponderado pelo perfil, gerando o ranking de qualidade de vida; e (ii) o PageRank ponderado pelos pesos das arestas, com personalização proporcional à importância de cada categoria para o perfil. Como métricas de avaliação, reportam-se o grau ponderado, a centralidade de proximidade e a análise de sensibilidade do ranking à troca de perfil.</w:t>
      </w:r>
    </w:p>
    <w:p>
      <w:pPr>
        <w:pStyle w:val="Heading1"/>
        <w:spacing w:before="240" w:after="120"/>
      </w:pPr>
      <w:r>
        <w:rPr>
          <w:rFonts w:ascii="Times New Roman" w:hAnsi="Times New Roman"/>
          <w:color w:val="000000"/>
        </w:rPr>
        <w:t>5 Resultados</w:t>
      </w:r>
    </w:p>
    <w:p>
      <w:pPr>
        <w:pStyle w:val="Heading2"/>
        <w:spacing w:before="240" w:after="120"/>
      </w:pPr>
      <w:r>
        <w:rPr>
          <w:rFonts w:ascii="Times New Roman" w:hAnsi="Times New Roman"/>
          <w:color w:val="000000"/>
        </w:rPr>
        <w:t>5.1 Estatísticas dos imóveis coletados</w:t>
      </w:r>
    </w:p>
    <w:p>
      <w:pPr>
        <w:ind w:firstLine="709"/>
        <w:jc w:val="both"/>
      </w:pPr>
      <w:r>
        <w:rPr>
          <w:b w:val="0"/>
          <w:i w:val="0"/>
        </w:rPr>
        <w:t>O conjunto analisado reúne 80 imóveis, sendo 45 para venda e 35 para aluguel, distribuídos entre 63 apartamentos e 17 casas. A área útil varia de 42 a 119 m² (mediana de 86 m²).</w:t>
      </w:r>
    </w:p>
    <w:p>
      <w:pPr>
        <w:pStyle w:val="Heading2"/>
        <w:spacing w:before="240" w:after="120"/>
      </w:pPr>
      <w:r>
        <w:rPr>
          <w:rFonts w:ascii="Times New Roman" w:hAnsi="Times New Roman"/>
          <w:color w:val="000000"/>
        </w:rPr>
        <w:t>5.2 Distribuição de preços</w:t>
      </w:r>
    </w:p>
    <w:p>
      <w:pPr>
        <w:ind w:firstLine="709"/>
        <w:jc w:val="both"/>
      </w:pPr>
      <w:r>
        <w:rPr>
          <w:b w:val="0"/>
          <w:i w:val="0"/>
        </w:rPr>
        <w:t>Entre os imóveis à venda, o preço varia de R$ 280.323 a R$ 893.798, com mediana de R$ 570.887 e custo mediano de R$ 7.364 por metro quadrado. Os imóveis para aluguel variam de R$ 1.704 a R$ 5.777 mensais (mediana de R$ 3.935).</w:t>
      </w:r>
    </w:p>
    <w:p>
      <w:pPr>
        <w:pStyle w:val="Heading2"/>
        <w:spacing w:before="240" w:after="120"/>
      </w:pPr>
      <w:r>
        <w:rPr>
          <w:rFonts w:ascii="Times New Roman" w:hAnsi="Times New Roman"/>
          <w:color w:val="000000"/>
        </w:rPr>
        <w:t>5.3 Grafo de facilities</w:t>
      </w:r>
    </w:p>
    <w:p>
      <w:pPr>
        <w:ind w:firstLine="709"/>
        <w:jc w:val="both"/>
      </w:pPr>
      <w:r>
        <w:rPr>
          <w:b w:val="0"/>
          <w:i w:val="0"/>
        </w:rPr>
        <w:t>O grafo resultante possui 110 vértices (80 imóveis e 30 facilities) e 1605 arestas, com média de 20.1 conexões por imóvel. A distribuição de facilities por categoria é: hospital: 6, school: 6, park: 6, university: 6, pharmacy: 6.</w:t>
      </w:r>
    </w:p>
    <w:p>
      <w:pPr>
        <w:pStyle w:val="Heading2"/>
        <w:spacing w:before="240" w:after="120"/>
      </w:pPr>
      <w:r>
        <w:rPr>
          <w:rFonts w:ascii="Times New Roman" w:hAnsi="Times New Roman"/>
          <w:color w:val="000000"/>
        </w:rPr>
        <w:t>5.4 Ranking de imóveis por perfil</w:t>
      </w:r>
    </w:p>
    <w:p>
      <w:pPr>
        <w:jc w:val="both"/>
      </w:pPr>
      <w:r>
        <w:rPr>
          <w:b w:val="0"/>
          <w:i w:val="0"/>
        </w:rPr>
        <w:t>A Tabela 4 apresenta os cinco imóveis mais bem ranqueados para o perfil família.</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w:t>
            </w:r>
          </w:p>
        </w:tc>
        <w:tc>
          <w:tcPr>
            <w:tcW w:type="dxa" w:w="1814"/>
          </w:tcPr>
          <w:p>
            <w:r>
              <w:rPr>
                <w:b/>
                <w:sz w:val="20"/>
              </w:rPr>
              <w:t>id_imovel</w:t>
            </w:r>
          </w:p>
        </w:tc>
        <w:tc>
          <w:tcPr>
            <w:tcW w:type="dxa" w:w="1814"/>
          </w:tcPr>
          <w:p>
            <w:r>
              <w:rPr>
                <w:b/>
                <w:sz w:val="20"/>
              </w:rPr>
              <w:t>preço (R$)</w:t>
            </w:r>
          </w:p>
        </w:tc>
        <w:tc>
          <w:tcPr>
            <w:tcW w:type="dxa" w:w="1814"/>
          </w:tcPr>
          <w:p>
            <w:r>
              <w:rPr>
                <w:b/>
                <w:sz w:val="20"/>
              </w:rPr>
              <w:t>área (m²)</w:t>
            </w:r>
          </w:p>
        </w:tc>
        <w:tc>
          <w:tcPr>
            <w:tcW w:type="dxa" w:w="1814"/>
          </w:tcPr>
          <w:p>
            <w:r>
              <w:rPr>
                <w:b/>
                <w:sz w:val="20"/>
              </w:rPr>
              <w:t>score</w:t>
            </w:r>
          </w:p>
        </w:tc>
      </w:tr>
      <w:tr>
        <w:tc>
          <w:tcPr>
            <w:tcW w:type="dxa" w:w="1814"/>
          </w:tcPr>
          <w:p>
            <w:r>
              <w:rPr>
                <w:sz w:val="20"/>
              </w:rPr>
              <w:t>1</w:t>
            </w:r>
          </w:p>
        </w:tc>
        <w:tc>
          <w:tcPr>
            <w:tcW w:type="dxa" w:w="1814"/>
          </w:tcPr>
          <w:p>
            <w:r>
              <w:rPr>
                <w:sz w:val="20"/>
              </w:rPr>
              <w:t>imovel_4</w:t>
            </w:r>
          </w:p>
        </w:tc>
        <w:tc>
          <w:tcPr>
            <w:tcW w:type="dxa" w:w="1814"/>
          </w:tcPr>
          <w:p>
            <w:r>
              <w:rPr>
                <w:sz w:val="20"/>
              </w:rPr>
              <w:t>375.061</w:t>
            </w:r>
          </w:p>
        </w:tc>
        <w:tc>
          <w:tcPr>
            <w:tcW w:type="dxa" w:w="1814"/>
          </w:tcPr>
          <w:p>
            <w:r>
              <w:rPr>
                <w:sz w:val="20"/>
              </w:rPr>
              <w:t>113</w:t>
            </w:r>
          </w:p>
        </w:tc>
        <w:tc>
          <w:tcPr>
            <w:tcW w:type="dxa" w:w="1814"/>
          </w:tcPr>
          <w:p>
            <w:r>
              <w:rPr>
                <w:sz w:val="20"/>
              </w:rPr>
              <w:t>0.625</w:t>
            </w:r>
          </w:p>
        </w:tc>
      </w:tr>
      <w:tr>
        <w:tc>
          <w:tcPr>
            <w:tcW w:type="dxa" w:w="1814"/>
          </w:tcPr>
          <w:p>
            <w:r>
              <w:rPr>
                <w:sz w:val="20"/>
              </w:rPr>
              <w:t>2</w:t>
            </w:r>
          </w:p>
        </w:tc>
        <w:tc>
          <w:tcPr>
            <w:tcW w:type="dxa" w:w="1814"/>
          </w:tcPr>
          <w:p>
            <w:r>
              <w:rPr>
                <w:sz w:val="20"/>
              </w:rPr>
              <w:t>imovel_68</w:t>
            </w:r>
          </w:p>
        </w:tc>
        <w:tc>
          <w:tcPr>
            <w:tcW w:type="dxa" w:w="1814"/>
          </w:tcPr>
          <w:p>
            <w:r>
              <w:rPr>
                <w:sz w:val="20"/>
              </w:rPr>
              <w:t>570.887</w:t>
            </w:r>
          </w:p>
        </w:tc>
        <w:tc>
          <w:tcPr>
            <w:tcW w:type="dxa" w:w="1814"/>
          </w:tcPr>
          <w:p>
            <w:r>
              <w:rPr>
                <w:sz w:val="20"/>
              </w:rPr>
              <w:t>108</w:t>
            </w:r>
          </w:p>
        </w:tc>
        <w:tc>
          <w:tcPr>
            <w:tcW w:type="dxa" w:w="1814"/>
          </w:tcPr>
          <w:p>
            <w:r>
              <w:rPr>
                <w:sz w:val="20"/>
              </w:rPr>
              <w:t>0.550</w:t>
            </w:r>
          </w:p>
        </w:tc>
      </w:tr>
      <w:tr>
        <w:tc>
          <w:tcPr>
            <w:tcW w:type="dxa" w:w="1814"/>
          </w:tcPr>
          <w:p>
            <w:r>
              <w:rPr>
                <w:sz w:val="20"/>
              </w:rPr>
              <w:t>3</w:t>
            </w:r>
          </w:p>
        </w:tc>
        <w:tc>
          <w:tcPr>
            <w:tcW w:type="dxa" w:w="1814"/>
          </w:tcPr>
          <w:p>
            <w:r>
              <w:rPr>
                <w:sz w:val="20"/>
              </w:rPr>
              <w:t>imovel_45</w:t>
            </w:r>
          </w:p>
        </w:tc>
        <w:tc>
          <w:tcPr>
            <w:tcW w:type="dxa" w:w="1814"/>
          </w:tcPr>
          <w:p>
            <w:r>
              <w:rPr>
                <w:sz w:val="20"/>
              </w:rPr>
              <w:t>486.188</w:t>
            </w:r>
          </w:p>
        </w:tc>
        <w:tc>
          <w:tcPr>
            <w:tcW w:type="dxa" w:w="1814"/>
          </w:tcPr>
          <w:p>
            <w:r>
              <w:rPr>
                <w:sz w:val="20"/>
              </w:rPr>
              <w:t>42</w:t>
            </w:r>
          </w:p>
        </w:tc>
        <w:tc>
          <w:tcPr>
            <w:tcW w:type="dxa" w:w="1814"/>
          </w:tcPr>
          <w:p>
            <w:r>
              <w:rPr>
                <w:sz w:val="20"/>
              </w:rPr>
              <w:t>0.545</w:t>
            </w:r>
          </w:p>
        </w:tc>
      </w:tr>
      <w:tr>
        <w:tc>
          <w:tcPr>
            <w:tcW w:type="dxa" w:w="1814"/>
          </w:tcPr>
          <w:p>
            <w:r>
              <w:rPr>
                <w:sz w:val="20"/>
              </w:rPr>
              <w:t>4</w:t>
            </w:r>
          </w:p>
        </w:tc>
        <w:tc>
          <w:tcPr>
            <w:tcW w:type="dxa" w:w="1814"/>
          </w:tcPr>
          <w:p>
            <w:r>
              <w:rPr>
                <w:sz w:val="20"/>
              </w:rPr>
              <w:t>imovel_36</w:t>
            </w:r>
          </w:p>
        </w:tc>
        <w:tc>
          <w:tcPr>
            <w:tcW w:type="dxa" w:w="1814"/>
          </w:tcPr>
          <w:p>
            <w:r>
              <w:rPr>
                <w:sz w:val="20"/>
              </w:rPr>
              <w:t>464.403</w:t>
            </w:r>
          </w:p>
        </w:tc>
        <w:tc>
          <w:tcPr>
            <w:tcW w:type="dxa" w:w="1814"/>
          </w:tcPr>
          <w:p>
            <w:r>
              <w:rPr>
                <w:sz w:val="20"/>
              </w:rPr>
              <w:t>106</w:t>
            </w:r>
          </w:p>
        </w:tc>
        <w:tc>
          <w:tcPr>
            <w:tcW w:type="dxa" w:w="1814"/>
          </w:tcPr>
          <w:p>
            <w:r>
              <w:rPr>
                <w:sz w:val="20"/>
              </w:rPr>
              <w:t>0.535</w:t>
            </w:r>
          </w:p>
        </w:tc>
      </w:tr>
      <w:tr>
        <w:tc>
          <w:tcPr>
            <w:tcW w:type="dxa" w:w="1814"/>
          </w:tcPr>
          <w:p>
            <w:r>
              <w:rPr>
                <w:sz w:val="20"/>
              </w:rPr>
              <w:t>5</w:t>
            </w:r>
          </w:p>
        </w:tc>
        <w:tc>
          <w:tcPr>
            <w:tcW w:type="dxa" w:w="1814"/>
          </w:tcPr>
          <w:p>
            <w:r>
              <w:rPr>
                <w:sz w:val="20"/>
              </w:rPr>
              <w:t>imovel_35</w:t>
            </w:r>
          </w:p>
        </w:tc>
        <w:tc>
          <w:tcPr>
            <w:tcW w:type="dxa" w:w="1814"/>
          </w:tcPr>
          <w:p>
            <w:r>
              <w:rPr>
                <w:sz w:val="20"/>
              </w:rPr>
              <w:t>680.590</w:t>
            </w:r>
          </w:p>
        </w:tc>
        <w:tc>
          <w:tcPr>
            <w:tcW w:type="dxa" w:w="1814"/>
          </w:tcPr>
          <w:p>
            <w:r>
              <w:rPr>
                <w:sz w:val="20"/>
              </w:rPr>
              <w:t>60</w:t>
            </w:r>
          </w:p>
        </w:tc>
        <w:tc>
          <w:tcPr>
            <w:tcW w:type="dxa" w:w="1814"/>
          </w:tcPr>
          <w:p>
            <w:r>
              <w:rPr>
                <w:sz w:val="20"/>
              </w:rPr>
              <w:t>0.527</w:t>
            </w:r>
          </w:p>
        </w:tc>
      </w:tr>
    </w:tbl>
    <w:p>
      <w:pPr>
        <w:jc w:val="both"/>
      </w:pPr>
      <w:r>
        <w:rPr>
          <w:b w:val="0"/>
          <w:i/>
          <w:sz w:val="20"/>
        </w:rPr>
        <w:t>Tabela 4 — Top-5 imóveis para o perfil família. Fonte: elaboração própria.</w:t>
      </w:r>
    </w:p>
    <w:p>
      <w:pPr>
        <w:pStyle w:val="Heading2"/>
        <w:spacing w:before="240" w:after="120"/>
      </w:pPr>
      <w:r>
        <w:rPr>
          <w:rFonts w:ascii="Times New Roman" w:hAnsi="Times New Roman"/>
          <w:color w:val="000000"/>
        </w:rPr>
        <w:t>5.5 Centralidades e análise do método</w:t>
      </w:r>
    </w:p>
    <w:p>
      <w:pPr>
        <w:ind w:firstLine="709"/>
        <w:jc w:val="both"/>
      </w:pPr>
      <w:r>
        <w:rPr>
          <w:b w:val="0"/>
          <w:i w:val="0"/>
        </w:rPr>
        <w:t>Pelo PageRank personalizado para o perfil família, os imóveis mais centrais na malha de serviços são: imovel_2 (PR=0.0085), imovel_66 (PR=0.0081), imovel_76 (PR=0.0081). A análise de sensibilidade evidencia o papel do perfil: o imóvel líder muda conforme o público (familia → imovel_4, idoso → imovel_4, estudante → imovel_36, jovem_profissional → imovel_4). Além disso, o imóvel mais bem classificado para a família (imovel_4) ocupa as posições 1º (familia), 1º (idoso), 2º (estudante), 1º (jovem_profissional) nos diferentes perfis, confirmando que a recomendação não é genérica.</w:t>
      </w:r>
    </w:p>
    <w:p>
      <w:pPr>
        <w:pStyle w:val="Heading1"/>
        <w:spacing w:before="240" w:after="120"/>
      </w:pPr>
      <w:r>
        <w:rPr>
          <w:rFonts w:ascii="Times New Roman" w:hAnsi="Times New Roman"/>
          <w:color w:val="000000"/>
        </w:rPr>
        <w:t>6 Discussão</w:t>
      </w:r>
    </w:p>
    <w:p>
      <w:pPr>
        <w:ind w:firstLine="709"/>
        <w:jc w:val="both"/>
      </w:pPr>
      <w:r>
        <w:rPr>
          <w:b w:val="0"/>
          <w:i w:val="0"/>
        </w:rPr>
        <w:t>Os resultados sustentam a hipótese de que a modelagem em grafo e base relacional gera recomendações mais ricas do que a busca convencional. A principal vantagem do modelo é capturar a interconectividade urbana: dois imóveis de mesmo preço e área podem ter qualidade de vida distinta em função da vizinhança de serviços, distinção invisível a um filtro de SQL tradicional.</w:t>
      </w:r>
    </w:p>
    <w:p>
      <w:pPr>
        <w:ind w:firstLine="709"/>
        <w:jc w:val="both"/>
      </w:pPr>
      <w:r>
        <w:rPr>
          <w:b w:val="0"/>
          <w:i w:val="0"/>
        </w:rPr>
        <w:t>Como limitação dos dados, os imóveis utilizados são simulados, o que impede conclusões sobre o mercado real e exige, em trabalhos futuros, a substituição por coleta via web scraping. A distância adotada é euclidiana/geodésica, não o tempo real de deslocamento, o que pode superestimar a acessibilidade em áreas com barreiras viárias.</w:t>
      </w:r>
    </w:p>
    <w:p>
      <w:pPr>
        <w:ind w:firstLine="709"/>
        <w:jc w:val="both"/>
      </w:pPr>
      <w:r>
        <w:rPr>
          <w:b w:val="0"/>
          <w:i w:val="0"/>
        </w:rPr>
        <w:t>A sensibilidade aos pesos é uma característica desejada — ela personaliza a recomendação — mas também uma fonte de subjetividade: a escolha de (α, β, γ, δ, λ) deve ser justificada e, idealmente, calibrada com dados de preferência reais. Quanto aos limites éticos e legais, a coleta deve respeitar os termos de uso dos portais e a LGPD (BRASIL, 2018), utilizando apenas dados públicos e anonimizando informações pessoais.</w:t>
      </w:r>
    </w:p>
    <w:p>
      <w:pPr>
        <w:pStyle w:val="Heading1"/>
        <w:spacing w:before="240" w:after="120"/>
      </w:pPr>
      <w:r>
        <w:rPr>
          <w:rFonts w:ascii="Times New Roman" w:hAnsi="Times New Roman"/>
          <w:color w:val="000000"/>
        </w:rPr>
        <w:t>7 Conclusão</w:t>
      </w:r>
    </w:p>
    <w:p>
      <w:pPr>
        <w:ind w:firstLine="709"/>
        <w:jc w:val="both"/>
      </w:pPr>
      <w:r>
        <w:rPr>
          <w:b w:val="0"/>
          <w:i w:val="0"/>
        </w:rPr>
        <w:t>Este trabalho apresentou uma proposta de proptech orientada à qualidade de vida para Águas Claras/DF, articulando explicitamente conceitos de Teoria da Computação. O processo de recomendação foi formalizado como um autômato finito determinístico, os dados foram estruturados em modelo relacional e a recomendação foi obtida por modelagem em grafo com escore multicritério e PageRank.</w:t>
      </w:r>
    </w:p>
    <w:p>
      <w:pPr>
        <w:ind w:firstLine="709"/>
        <w:jc w:val="both"/>
      </w:pPr>
      <w:r>
        <w:rPr>
          <w:b w:val="0"/>
          <w:i w:val="0"/>
        </w:rPr>
        <w:t>A convergência entre mercado imobiliário e Teoria da Computação mostrou-se viável e fértil: a imobiliária deixa de ser uma vitrine passiva para tornar-se um motor de otimização da vida urbana. Como contribuição acadêmica, o trabalho oferece uma metodologia reprodutível que liga a definição institucional de qualidade de vida a uma implementação computacional verificável. Para trabalhos futuros, sugerem-se a coleta de dados reais, o uso de tempo de deslocamento multimodal e a calibração dos pesos por aprendizado de máquina.</w:t>
      </w:r>
    </w:p>
    <w:p>
      <w:pPr>
        <w:pStyle w:val="Heading1"/>
        <w:spacing w:before="240" w:after="120"/>
      </w:pPr>
      <w:r>
        <w:rPr>
          <w:rFonts w:ascii="Times New Roman" w:hAnsi="Times New Roman"/>
          <w:color w:val="000000"/>
        </w:rPr>
        <w:t>Referências</w:t>
      </w:r>
    </w:p>
    <w:p>
      <w:pPr>
        <w:spacing w:after="120"/>
        <w:jc w:val="both"/>
      </w:pPr>
      <w:r>
        <w:t>BARABÁSI, A.-L. Network Science. Cambridge: Cambridge University Press, 2016.</w:t>
      </w:r>
    </w:p>
    <w:p>
      <w:pPr>
        <w:spacing w:after="120"/>
        <w:jc w:val="both"/>
      </w:pPr>
      <w:r>
        <w:t>BOEING, G. OSMnx: New methods for acquiring, constructing, analyzing, and visualizing complex street networks. Computers, Environment and Urban Systems, v. 65, p. 126-139, 2017.</w:t>
      </w:r>
    </w:p>
    <w:p>
      <w:pPr>
        <w:spacing w:after="120"/>
        <w:jc w:val="both"/>
      </w:pPr>
      <w:r>
        <w:t>BRASIL. Lei nº 13.709, de 14 de agosto de 2018. Lei Geral de Proteção de Dados Pessoais (LGPD). Brasília: Diário Oficial da União, 2018.</w:t>
      </w:r>
    </w:p>
    <w:p>
      <w:pPr>
        <w:spacing w:after="120"/>
        <w:jc w:val="both"/>
      </w:pPr>
      <w:r>
        <w:t>CODD, E. F. A relational model of data for large shared data banks. Communications of the ACM, v. 13, n. 6, p. 377-387, 1970.</w:t>
      </w:r>
    </w:p>
    <w:p>
      <w:pPr>
        <w:spacing w:after="120"/>
        <w:jc w:val="both"/>
      </w:pPr>
      <w:r>
        <w:t>HOPCROFT, J. E.; MOTWANI, R.; ULLMAN, J. D. Introduction to Automata Theory, Languages, and Computation. 3. ed. Boston: Addison-Wesley, 2006.</w:t>
      </w:r>
    </w:p>
    <w:p>
      <w:pPr>
        <w:spacing w:after="120"/>
        <w:jc w:val="both"/>
      </w:pPr>
      <w:r>
        <w:t>ONU-HABITAT. City Prosperity Index (CPI): Global City Report. Nairóbi: United Nations Human Settlements Programme, 2022.</w:t>
      </w:r>
    </w:p>
    <w:p>
      <w:pPr>
        <w:spacing w:after="120"/>
        <w:jc w:val="both"/>
      </w:pPr>
      <w:r>
        <w:t>ONU. Transformando nosso mundo: a Agenda 2030 para o Desenvolvimento Sustentável. Nova York: Organização das Nações Unidas, 2015.</w:t>
      </w:r>
    </w:p>
    <w:p>
      <w:pPr>
        <w:spacing w:after="120"/>
        <w:jc w:val="both"/>
      </w:pPr>
      <w:r>
        <w:t>PAGE, L.; BRIN, S.; MOTWANI, R.; WINOGRAD, T. The PageRank citation ranking: bringing order to the web. Stanford InfoLab, 1999.</w:t>
      </w:r>
    </w:p>
    <w:p>
      <w:pPr>
        <w:spacing w:after="120"/>
        <w:jc w:val="both"/>
      </w:pPr>
      <w:r>
        <w:t>SIPSER, M. Introdução à Teoria da Computação. 2. ed. São Paulo: Cengage Learning, 2012.</w:t>
      </w:r>
    </w:p>
    <w:p>
      <w:pPr>
        <w:spacing w:after="120"/>
        <w:jc w:val="both"/>
      </w:pPr>
      <w:r>
        <w:t>WHOQOL GROUP. The World Health Organization Quality of Life assessment (WHOQOL): position paper. Social Science &amp; Medicine, v. 41, n. 10, p. 1403-1409, 1995.</w:t>
      </w:r>
    </w:p>
    <w:p>
      <w:pPr>
        <w:pStyle w:val="Heading1"/>
        <w:spacing w:before="240" w:after="120"/>
      </w:pPr>
      <w:r>
        <w:rPr>
          <w:rFonts w:ascii="Times New Roman" w:hAnsi="Times New Roman"/>
          <w:color w:val="000000"/>
        </w:rPr>
        <w:t>Bibliografia</w:t>
      </w:r>
    </w:p>
    <w:p>
      <w:pPr>
        <w:spacing w:after="120"/>
        <w:jc w:val="both"/>
      </w:pPr>
      <w:r>
        <w:t>NEWMAN, M. E. J. Networks. 2. ed. Oxford: Oxford University Press, 2018.</w:t>
      </w:r>
    </w:p>
    <w:p>
      <w:pPr>
        <w:spacing w:after="120"/>
        <w:jc w:val="both"/>
      </w:pPr>
      <w:r>
        <w:t>RUSSELL, S.; NORVIG, P. Inteligência Artificial: uma abordagem moderna. 3. ed. Rio de Janeiro: Elsevier, 2013.</w:t>
      </w:r>
    </w:p>
    <w:p>
      <w:pPr>
        <w:spacing w:after="120"/>
        <w:jc w:val="both"/>
      </w:pPr>
      <w:r>
        <w:t>WORLD HEALTH ORGANIZATION. Global report on urban health: equitable, healthier cities for sustainable development. Genebra: WHO, 2016.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