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E1E82" w14:textId="03F79767" w:rsidR="00E94315" w:rsidRDefault="00982863">
      <w:pPr>
        <w:spacing w:before="200" w:after="60"/>
      </w:pPr>
      <w:r>
        <w:rPr>
          <w:rFonts w:ascii="Poppins SemiBold" w:eastAsia="Poppins SemiBold" w:hAnsi="Poppins SemiBold" w:cs="Poppins SemiBold"/>
          <w:noProof/>
          <w:color w:val="0B7472"/>
          <w:sz w:val="22"/>
          <w:szCs w:val="22"/>
        </w:rPr>
        <w:drawing>
          <wp:inline distT="0" distB="0" distL="0" distR="0" wp14:anchorId="19781115" wp14:editId="66ECF40D">
            <wp:extent cx="5912189" cy="1182438"/>
            <wp:effectExtent l="0" t="0" r="0" b="0"/>
            <wp:docPr id="67064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4260" name="Picture 6706442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5398" cy="1213080"/>
                    </a:xfrm>
                    <a:prstGeom prst="rect">
                      <a:avLst/>
                    </a:prstGeom>
                  </pic:spPr>
                </pic:pic>
              </a:graphicData>
            </a:graphic>
          </wp:inline>
        </w:drawing>
      </w:r>
    </w:p>
    <w:p w14:paraId="21854050" w14:textId="77777777" w:rsidR="00E94315" w:rsidRDefault="00E94315">
      <w:pPr>
        <w:pBdr>
          <w:bottom w:val="single" w:sz="10" w:space="0" w:color="0EA5A3"/>
        </w:pBdr>
        <w:spacing w:after="480"/>
      </w:pPr>
    </w:p>
    <w:p w14:paraId="100103CC" w14:textId="77777777" w:rsidR="00E94315" w:rsidRDefault="00000000">
      <w:pPr>
        <w:spacing w:after="100"/>
        <w:rPr>
          <w:rFonts w:ascii="Poppins SemiBold" w:eastAsia="Poppins SemiBold" w:hAnsi="Poppins SemiBold" w:cs="Poppins SemiBold"/>
          <w:color w:val="C7402F"/>
          <w:sz w:val="20"/>
          <w:szCs w:val="20"/>
        </w:rPr>
      </w:pPr>
      <w:r>
        <w:rPr>
          <w:rFonts w:ascii="Poppins SemiBold" w:eastAsia="Poppins SemiBold" w:hAnsi="Poppins SemiBold" w:cs="Poppins SemiBold"/>
          <w:color w:val="C7402F"/>
          <w:sz w:val="20"/>
          <w:szCs w:val="20"/>
        </w:rPr>
        <w:t>SAMPLE REPORT</w:t>
      </w:r>
    </w:p>
    <w:p w14:paraId="76E00150" w14:textId="77777777" w:rsidR="00465909" w:rsidRDefault="00465909">
      <w:pPr>
        <w:spacing w:after="100"/>
        <w:rPr>
          <w:rFonts w:ascii="Poppins SemiBold" w:eastAsia="Poppins SemiBold" w:hAnsi="Poppins SemiBold" w:cs="Poppins SemiBold"/>
          <w:color w:val="C7402F"/>
          <w:sz w:val="20"/>
          <w:szCs w:val="20"/>
        </w:rPr>
      </w:pPr>
    </w:p>
    <w:p w14:paraId="1211E13F" w14:textId="77777777" w:rsidR="00982863" w:rsidRDefault="00982863">
      <w:pPr>
        <w:spacing w:after="100"/>
      </w:pPr>
    </w:p>
    <w:p w14:paraId="6B50AF91" w14:textId="77777777" w:rsidR="00982863" w:rsidRDefault="00982863">
      <w:pPr>
        <w:spacing w:after="100"/>
      </w:pPr>
    </w:p>
    <w:p w14:paraId="3E047F0C" w14:textId="26653F5D" w:rsidR="00982863" w:rsidRPr="00982863" w:rsidRDefault="00000000" w:rsidP="00982863">
      <w:pPr>
        <w:spacing w:after="160"/>
        <w:rPr>
          <w:rFonts w:ascii="Poppins SemiBold" w:eastAsia="Poppins SemiBold" w:hAnsi="Poppins SemiBold" w:cs="Poppins SemiBold"/>
          <w:sz w:val="52"/>
          <w:szCs w:val="52"/>
        </w:rPr>
      </w:pPr>
      <w:r>
        <w:rPr>
          <w:rFonts w:ascii="Poppins SemiBold" w:eastAsia="Poppins SemiBold" w:hAnsi="Poppins SemiBold" w:cs="Poppins SemiBold"/>
          <w:sz w:val="52"/>
          <w:szCs w:val="52"/>
        </w:rPr>
        <w:t xml:space="preserve">Employee Engagement &amp; Retention </w:t>
      </w:r>
    </w:p>
    <w:p w14:paraId="34401B09" w14:textId="422D1DBC" w:rsidR="00982863" w:rsidRDefault="00000000" w:rsidP="00982863">
      <w:pPr>
        <w:spacing w:after="520"/>
        <w:rPr>
          <w:color w:val="44546A"/>
          <w:sz w:val="26"/>
          <w:szCs w:val="26"/>
        </w:rPr>
      </w:pPr>
      <w:r>
        <w:rPr>
          <w:color w:val="44546A"/>
          <w:sz w:val="26"/>
          <w:szCs w:val="26"/>
        </w:rPr>
        <w:t>Annual census, all-employee population.</w:t>
      </w:r>
    </w:p>
    <w:tbl>
      <w:tblPr>
        <w:tblStyle w:val="a"/>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1900"/>
        <w:gridCol w:w="7460"/>
      </w:tblGrid>
      <w:tr w:rsidR="00E94315" w14:paraId="155807AB" w14:textId="77777777">
        <w:tc>
          <w:tcPr>
            <w:tcW w:w="1900" w:type="dxa"/>
            <w:tcMar>
              <w:top w:w="90" w:type="dxa"/>
              <w:left w:w="0" w:type="dxa"/>
              <w:bottom w:w="90" w:type="dxa"/>
              <w:right w:w="110" w:type="dxa"/>
            </w:tcMar>
          </w:tcPr>
          <w:p w14:paraId="6B784267" w14:textId="77777777" w:rsidR="00E94315" w:rsidRDefault="00000000">
            <w:r>
              <w:rPr>
                <w:rFonts w:ascii="Poppins SemiBold" w:eastAsia="Poppins SemiBold" w:hAnsi="Poppins SemiBold" w:cs="Poppins SemiBold"/>
                <w:color w:val="0B7472"/>
                <w:sz w:val="19"/>
                <w:szCs w:val="19"/>
              </w:rPr>
              <w:t>Prepared for</w:t>
            </w:r>
          </w:p>
        </w:tc>
        <w:tc>
          <w:tcPr>
            <w:tcW w:w="7460" w:type="dxa"/>
            <w:tcMar>
              <w:top w:w="90" w:type="dxa"/>
              <w:left w:w="110" w:type="dxa"/>
              <w:bottom w:w="90" w:type="dxa"/>
              <w:right w:w="0" w:type="dxa"/>
            </w:tcMar>
          </w:tcPr>
          <w:p w14:paraId="7F986B44" w14:textId="0A758351" w:rsidR="00E94315" w:rsidRDefault="00465909">
            <w:r>
              <w:rPr>
                <w:sz w:val="20"/>
                <w:szCs w:val="20"/>
              </w:rPr>
              <w:t>Northgate Components, Inc. — a fictional mid-size US manufacturer (illustrative)</w:t>
            </w:r>
          </w:p>
        </w:tc>
      </w:tr>
      <w:tr w:rsidR="00E94315" w14:paraId="0D06BEB9" w14:textId="77777777">
        <w:tc>
          <w:tcPr>
            <w:tcW w:w="1900" w:type="dxa"/>
            <w:tcMar>
              <w:top w:w="90" w:type="dxa"/>
              <w:left w:w="0" w:type="dxa"/>
              <w:bottom w:w="90" w:type="dxa"/>
              <w:right w:w="110" w:type="dxa"/>
            </w:tcMar>
          </w:tcPr>
          <w:p w14:paraId="6D2AD740" w14:textId="77777777" w:rsidR="00E94315" w:rsidRDefault="00000000">
            <w:r>
              <w:rPr>
                <w:rFonts w:ascii="Poppins SemiBold" w:eastAsia="Poppins SemiBold" w:hAnsi="Poppins SemiBold" w:cs="Poppins SemiBold"/>
                <w:color w:val="0B7472"/>
                <w:sz w:val="19"/>
                <w:szCs w:val="19"/>
              </w:rPr>
              <w:t>Prepared by</w:t>
            </w:r>
          </w:p>
        </w:tc>
        <w:tc>
          <w:tcPr>
            <w:tcW w:w="7460" w:type="dxa"/>
            <w:tcMar>
              <w:top w:w="90" w:type="dxa"/>
              <w:left w:w="110" w:type="dxa"/>
              <w:bottom w:w="90" w:type="dxa"/>
              <w:right w:w="0" w:type="dxa"/>
            </w:tcMar>
          </w:tcPr>
          <w:p w14:paraId="1F90B1EE" w14:textId="77777777" w:rsidR="00E94315" w:rsidRDefault="00000000">
            <w:r>
              <w:rPr>
                <w:sz w:val="20"/>
                <w:szCs w:val="20"/>
              </w:rPr>
              <w:t>Andrei Akhtyrskii, PhD — Measure &amp; Meaning Research</w:t>
            </w:r>
          </w:p>
        </w:tc>
      </w:tr>
    </w:tbl>
    <w:p w14:paraId="4A6696CB" w14:textId="77777777" w:rsidR="00E94315" w:rsidRDefault="00E94315">
      <w:pPr>
        <w:spacing w:after="500"/>
      </w:pPr>
    </w:p>
    <w:tbl>
      <w:tblPr>
        <w:tblW w:w="9360" w:type="dxa"/>
        <w:tblBorders>
          <w:top w:val="none" w:sz="0" w:space="0" w:color="FFFFFF"/>
          <w:left w:val="single" w:sz="18" w:space="0" w:color="C7402F"/>
          <w:bottom w:val="none" w:sz="0" w:space="0" w:color="FFFFFF"/>
          <w:right w:val="none" w:sz="0" w:space="0" w:color="FFFFFF"/>
          <w:insideH w:val="none" w:sz="0" w:space="0" w:color="FFFFFF"/>
          <w:insideV w:val="none" w:sz="0" w:space="0" w:color="FFFFFF"/>
        </w:tblBorders>
        <w:tblCellMar>
          <w:top w:w="120" w:type="dxa"/>
          <w:left w:w="200" w:type="dxa"/>
          <w:bottom w:w="120" w:type="dxa"/>
          <w:right w:w="160" w:type="dxa"/>
        </w:tblCellMar>
      </w:tblPr>
      <w:tblGrid>
        <w:gridCol w:w="9360"/>
      </w:tblGrid>
      <w:tr>
        <w:tc>
          <w:tcPr>
            <w:tcW w:w="9360" w:type="dxa"/>
            <w:shd w:val="clear" w:color="auto" w:fill="F3F5F6"/>
          </w:tcPr>
          <w:p>
            <w:pPr>
              <w:spacing w:after="60"/>
              <w:rPr>
                <w:rFonts w:ascii="Inter" w:hAnsi="Inter"/>
              </w:rPr>
            </w:pPr>
            <w:r>
              <w:rPr>
                <w:rFonts w:ascii="Poppins SemiBold" w:hAnsi="Poppins SemiBold"/>
                <w:b/>
                <w:bCs/>
                <w:color w:val="C7402F"/>
                <w:sz w:val="19"/>
                <w:szCs w:val="19"/>
              </w:rPr>
              <w:t xml:space="preserve">About this document</w:t>
            </w:r>
          </w:p>
          <w:p>
            <w:pPr>
              <w:spacing w:after="40"/>
              <w:rPr>
                <w:rFonts w:ascii="Inter" w:hAnsi="Inter"/>
              </w:rPr>
            </w:pPr>
            <w:r>
              <w:rPr>
                <w:rFonts w:ascii="Inter" w:hAnsi="Inter"/>
                <w:b/>
                <w:bCs/>
                <w:color w:val="0B1F3A"/>
                <w:sz w:val="19"/>
                <w:szCs w:val="19"/>
              </w:rPr>
              <w:t xml:space="preserve">This is a sample deliverable. </w:t>
            </w:r>
            <w:r>
              <w:rPr>
                <w:rFonts w:ascii="Inter" w:hAnsi="Inter"/>
                <w:color w:val="0B1F3A"/>
                <w:sz w:val="19"/>
                <w:szCs w:val="19"/>
              </w:rPr>
              <w:t xml:space="preserve">Every number, chart, organization name, and quotation in it is synthetic — generated to illustrate the structure, analysis standards, and decision framing of a Measure &amp; Meaning employee census report. No real client data appear anywhere in this document.</w:t>
            </w:r>
          </w:p>
          <w:p>
            <w:pPr>
              <w:spacing w:after="0"/>
              <w:rPr>
                <w:rFonts w:ascii="Inter" w:hAnsi="Inter"/>
              </w:rPr>
            </w:pPr>
            <w:r>
              <w:rPr>
                <w:rFonts w:ascii="Inter" w:hAnsi="Inter"/>
                <w:i/>
                <w:iCs/>
                <w:color w:val="0B1F3A"/>
                <w:sz w:val="19"/>
                <w:szCs w:val="19"/>
              </w:rPr>
              <w:t xml:space="preserve">Instrumentation: all survey items referenced here are original Measure &amp; Meaning formulations (IP tier A).</w:t>
            </w:r>
          </w:p>
        </w:tc>
      </w:tr>
    </w:tbl>
    <w:p>
      <w:pPr>
        <w:spacing w:after="120"/>
      </w:pPr>
    </w:p>
    <w:p w14:paraId="262026F8" w14:textId="77777777" w:rsidR="00982863" w:rsidRDefault="00982863"/>
    <w:p w14:paraId="21D44D96" w14:textId="77777777" w:rsidR="00465909" w:rsidRDefault="00465909"/>
    <w:p w14:paraId="6FAC6434" w14:textId="77777777" w:rsidR="00465909" w:rsidRDefault="00465909"/>
    <w:p w14:paraId="144E372A" w14:textId="77777777" w:rsidR="00465909" w:rsidRDefault="00465909"/>
    <w:p w14:paraId="7FB86592" w14:textId="77777777" w:rsidR="00465909" w:rsidRDefault="00465909"/>
    <w:p w14:paraId="6B20F371" w14:textId="77777777" w:rsidR="00465909" w:rsidRDefault="00465909"/>
    <w:p w14:paraId="2054F437" w14:textId="77777777" w:rsidR="00465909" w:rsidRDefault="00465909"/>
    <w:p w14:paraId="3631C5D7" w14:textId="77777777" w:rsidR="00465909" w:rsidRDefault="00465909"/>
    <w:p w14:paraId="6D622036" w14:textId="77777777" w:rsidR="00465909" w:rsidRDefault="00465909"/>
    <w:p w14:paraId="4358AE29" w14:textId="4C2D62B0" w:rsidR="00465909" w:rsidRDefault="00465909" w:rsidP="00465909">
      <w:pPr>
        <w:jc w:val="center"/>
      </w:pPr>
      <w:r>
        <w:t>Month, Year</w:t>
      </w:r>
    </w:p>
    <w:p w14:paraId="5544C4CD" w14:textId="53EA5AFF" w:rsidR="00465909" w:rsidRDefault="00000000" w:rsidP="00465909">
      <w:r>
        <w:br w:type="page"/>
      </w:r>
    </w:p>
    <w:p w14:paraId="14780D42"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01  </w:t>
      </w:r>
      <w:r>
        <w:rPr>
          <w:rFonts w:ascii="Poppins SemiBold" w:eastAsia="Poppins SemiBold" w:hAnsi="Poppins SemiBold" w:cs="Poppins SemiBold"/>
          <w:color w:val="0B1F3A"/>
          <w:sz w:val="30"/>
          <w:szCs w:val="30"/>
        </w:rPr>
        <w:t xml:space="preserve">Executive summary</w:t>
      </w:r>
    </w:p>
    <w:p w14:paraId="5CA14AAE" w14:textId="6A66FF56" w:rsidR="00E94315" w:rsidRDefault="00000000">
      <w:pPr>
        <w:spacing w:after="140"/>
      </w:pPr>
      <w:r>
        <w:rPr>
          <w:b/>
          <w:bCs/>
        </w:rPr>
        <w:t xml:space="preserve">The decision this study supports: </w:t>
      </w:r>
      <w:r>
        <w:t xml:space="preserve">voluntary turnover at Northgate rose from 14% to 21% in twelve months, concentrated in production roles. Leadership must decide where to spend a limited retention budget in FY-27. This census answers what actually predicts leaving — not what is loudest — and sequences the levers by cost.</w:t>
      </w:r>
    </w:p>
    <w:p w14:paraId="32BAEDC6" w14:textId="77777777" w:rsidR="00E94315" w:rsidRDefault="00000000">
      <w:pPr>
        <w:numPr>
          <w:ilvl w:val="0"/>
          <w:numId w:val="1"/>
        </w:numPr>
        <w:pBdr>
          <w:top w:val="nil"/>
          <w:left w:val="nil"/>
          <w:bottom w:val="nil"/>
          <w:right w:val="nil"/>
          <w:between w:val="nil"/>
        </w:pBdr>
        <w:spacing w:after="100"/>
      </w:pPr>
      <w:r>
        <w:rPr>
          <w:b/>
          <w:bCs/>
        </w:rPr>
        <w:t xml:space="preserve">Engagement is uneven, not low. </w:t>
      </w:r>
      <w:r>
        <w:t>The organization averages 65 on a 0–100 index, but Warehouse &amp; Logistics (61) and Production (64) sit meaningfully below Engineering (74). The problem is concentrated, so the response should be too. (Fig. 1)</w:t>
      </w:r>
    </w:p>
    <w:p w14:paraId="4840825F" w14:textId="77777777" w:rsidR="00E94315" w:rsidRDefault="00000000">
      <w:pPr>
        <w:numPr>
          <w:ilvl w:val="0"/>
          <w:numId w:val="1"/>
        </w:numPr>
        <w:pBdr>
          <w:top w:val="nil"/>
          <w:left w:val="nil"/>
          <w:bottom w:val="nil"/>
          <w:right w:val="nil"/>
          <w:between w:val="nil"/>
        </w:pBdr>
        <w:spacing w:after="100"/>
      </w:pPr>
      <w:r>
        <w:rPr>
          <w:b/>
          <w:bCs/>
        </w:rPr>
        <w:t xml:space="preserve">eNPS is −3 overall and −12 to −17 in the two frontline units </w:t>
      </w:r>
      <w:r>
        <w:t>— the workforce is closer to warning peers off than recommending. Small-unit scores carry wide confidence intervals and are flagged as such. (Fig. 2)</w:t>
      </w:r>
    </w:p>
    <w:p w14:paraId="6DD64E40" w14:textId="77777777" w:rsidR="00E94315" w:rsidRDefault="00000000">
      <w:pPr>
        <w:numPr>
          <w:ilvl w:val="0"/>
          <w:numId w:val="1"/>
        </w:numPr>
        <w:pBdr>
          <w:top w:val="nil"/>
          <w:left w:val="nil"/>
          <w:bottom w:val="nil"/>
          <w:right w:val="nil"/>
          <w:between w:val="nil"/>
        </w:pBdr>
        <w:spacing w:after="100"/>
      </w:pPr>
      <w:r>
        <w:rPr>
          <w:b/>
          <w:bCs/>
        </w:rPr>
        <w:t xml:space="preserve">Four conditions fall in the action zone </w:t>
      </w:r>
      <w:r>
        <w:t>— high importance, low satisfaction: pay fairness, sustainable workload, career growth, and communication. Team relationships and safety are strengths to protect, not investment targets. (Fig. 3–4)</w:t>
      </w:r>
    </w:p>
    <w:p w14:paraId="5184E1FD" w14:textId="77777777" w:rsidR="00E94315" w:rsidRDefault="00000000">
      <w:pPr>
        <w:numPr>
          <w:ilvl w:val="0"/>
          <w:numId w:val="1"/>
        </w:numPr>
        <w:pBdr>
          <w:top w:val="nil"/>
          <w:left w:val="nil"/>
          <w:bottom w:val="nil"/>
          <w:right w:val="nil"/>
          <w:between w:val="nil"/>
        </w:pBdr>
        <w:spacing w:after="100"/>
      </w:pPr>
      <w:r>
        <w:rPr>
          <w:b/>
          <w:bCs/>
        </w:rPr>
        <w:t xml:space="preserve">Burnout risk is demand-driven, not resilience-driven. </w:t>
      </w:r>
      <w:r>
        <w:t>31% of the 3–6-year tenure band screens elevated; Production and Warehouse combine high demand with poor recovery. The fix is workload math — staffing, scheduling, overtime — not wellness programming. (Fig. 5–6)</w:t>
      </w:r>
    </w:p>
    <w:p w14:paraId="71DE8099" w14:textId="77777777" w:rsidR="00E94315" w:rsidRDefault="00000000">
      <w:pPr>
        <w:numPr>
          <w:ilvl w:val="0"/>
          <w:numId w:val="1"/>
        </w:numPr>
        <w:pBdr>
          <w:top w:val="nil"/>
          <w:left w:val="nil"/>
          <w:bottom w:val="nil"/>
          <w:right w:val="nil"/>
          <w:between w:val="nil"/>
        </w:pBdr>
        <w:spacing w:after="100"/>
      </w:pPr>
      <w:r>
        <w:rPr>
          <w:b/>
          <w:bCs/>
        </w:rPr>
        <w:t xml:space="preserve">The driver model reorders the priority list. </w:t>
      </w:r>
      <w:r>
        <w:t xml:space="preserve">Stated importance puts pay and job security on top; the model of who actually intends to stay puts career growth first, with recognition, communication, and feedback — three low-cost levers — jointly explaining about 20% of retention variance. (Fig. 8–9)</w:t>
      </w:r>
    </w:p>
    <w:p w14:paraId="7FF857AD" w14:textId="77777777" w:rsidR="00E94315" w:rsidRDefault="00E94315">
      <w:pPr>
        <w:spacing w:after="60"/>
      </w:pPr>
    </w:p>
    <w:tbl>
      <w:tblPr>
        <w:tblStyle w:val="a1"/>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0789DCA9" w14:textId="77777777">
        <w:tc>
          <w:tcPr>
            <w:tcW w:w="9360" w:type="dxa"/>
            <w:shd w:val="clear" w:color="auto" w:fill="F3F5F6"/>
            <w:tcMar>
              <w:top w:w="120" w:type="dxa"/>
              <w:left w:w="200" w:type="dxa"/>
              <w:bottom w:w="120" w:type="dxa"/>
              <w:right w:w="160" w:type="dxa"/>
            </w:tcMar>
          </w:tcPr>
          <w:p w14:paraId="75488FD7" w14:textId="77777777" w:rsidR="00E94315" w:rsidRDefault="00000000">
            <w:pPr>
              <w:spacing w:after="60"/>
            </w:pPr>
            <w:r>
              <w:rPr>
                <w:rFonts w:ascii="Poppins SemiBold" w:eastAsia="Poppins SemiBold" w:hAnsi="Poppins SemiBold" w:cs="Poppins SemiBold"/>
                <w:color w:val="0B7472"/>
                <w:sz w:val="19"/>
                <w:szCs w:val="19"/>
              </w:rPr>
              <w:t>Recommendation</w:t>
            </w:r>
          </w:p>
          <w:p w14:paraId="200B2417" w14:textId="77777777" w:rsidR="00465909" w:rsidRDefault="00000000">
            <w:pPr>
              <w:spacing w:after="40"/>
              <w:rPr>
                <w:sz w:val="19"/>
                <w:szCs w:val="19"/>
              </w:rPr>
            </w:pPr>
            <w:r>
              <w:rPr>
                <w:sz w:val="19"/>
                <w:szCs w:val="19"/>
              </w:rPr>
              <w:t xml:space="preserve">Sequence the retention budget in three tiers: </w:t>
            </w:r>
          </w:p>
          <w:p w14:paraId="39506B1C" w14:textId="77777777" w:rsidR="00465909" w:rsidRDefault="00000000">
            <w:pPr>
              <w:spacing w:after="40"/>
              <w:rPr>
                <w:b/>
                <w:bCs/>
                <w:sz w:val="19"/>
                <w:szCs w:val="19"/>
              </w:rPr>
            </w:pPr>
            <w:r>
              <w:rPr>
                <w:b/>
                <w:bCs/>
                <w:sz w:val="19"/>
                <w:szCs w:val="19"/>
              </w:rPr>
              <w:t xml:space="preserve">(1) deploy the low-cost levers now — recognition practice, leadership communication rhythm, feedback clarity — in Production and Warehouse first; </w:t>
            </w:r>
          </w:p>
          <w:p w14:paraId="785F1ACF" w14:textId="77777777" w:rsidR="00465909" w:rsidRDefault="00000000">
            <w:pPr>
              <w:spacing w:after="40"/>
              <w:rPr>
                <w:b/>
                <w:bCs/>
                <w:sz w:val="19"/>
                <w:szCs w:val="19"/>
              </w:rPr>
            </w:pPr>
            <w:r>
              <w:rPr>
                <w:b/>
                <w:bCs/>
                <w:sz w:val="19"/>
                <w:szCs w:val="19"/>
              </w:rPr>
              <w:t xml:space="preserve">(2) fund the structural fixes — staffing-model review for sustainable workload and visible technical career paths; </w:t>
            </w:r>
          </w:p>
          <w:p w14:paraId="7BC31F04" w14:textId="5FCA8BB9" w:rsidR="00E94315" w:rsidRDefault="00000000">
            <w:pPr>
              <w:spacing w:after="40"/>
            </w:pPr>
            <w:r>
              <w:rPr>
                <w:b/>
                <w:bCs/>
                <w:sz w:val="19"/>
                <w:szCs w:val="19"/>
              </w:rPr>
              <w:t>(3) commission a targeted pay-equity and market-benchmark study before making across-the-board pay moves. Re-measure with a 5-minute pulse in Q4 against this baseline.</w:t>
            </w:r>
          </w:p>
        </w:tc>
      </w:tr>
    </w:tbl>
    <w:p w14:paraId="4EE2EAC7" w14:textId="77777777" w:rsidR="00E94315" w:rsidRDefault="00000000">
      <w:r>
        <w:br w:type="page"/>
      </w:r>
    </w:p>
    <w:p w14:paraId="7255B4A6"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02  </w:t>
      </w:r>
      <w:r>
        <w:rPr>
          <w:rFonts w:ascii="Poppins SemiBold" w:eastAsia="Poppins SemiBold" w:hAnsi="Poppins SemiBold" w:cs="Poppins SemiBold"/>
          <w:color w:val="0B1F3A"/>
          <w:sz w:val="30"/>
          <w:szCs w:val="30"/>
        </w:rPr>
        <w:t xml:space="preserve">Background and objectives</w:t>
      </w:r>
    </w:p>
    <w:p w14:paraId="5D0034C5" w14:textId="77777777" w:rsidR="00E94315" w:rsidRDefault="00000000">
      <w:pPr>
        <w:spacing w:after="140"/>
      </w:pPr>
      <w:r>
        <w:t>Northgate Components employs approximately 1,240 people across two production sites and a headquarters office. Exit interviews and manager escalations pointed to workload and pay as the causes of rising turnover — but exit data describe leavers, are collected at the worst possible moment, and cannot rank causes. Leadership commissioned a full census to establish a defensible baseline before allocating the FY-27 retention budget.</w:t>
      </w:r>
    </w:p>
    <w:p w14:paraId="6BF55C21" w14:textId="77777777" w:rsidR="00E94315" w:rsidRDefault="00000000">
      <w:pPr>
        <w:spacing w:after="140"/>
      </w:pPr>
      <w:r>
        <w:t>The study was designed to resolve five questions, each mapped to a survey module:</w:t>
      </w:r>
    </w:p>
    <w:tbl>
      <w:tblPr>
        <w:tblStyle w:val="a2"/>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560"/>
        <w:gridCol w:w="6900"/>
        <w:gridCol w:w="1900"/>
      </w:tblGrid>
      <w:tr w:rsidR="00E94315" w14:paraId="5E04CE5F" w14:textId="77777777">
        <w:trPr>
          <w:tblHeader/>
        </w:trPr>
        <w:tc>
          <w:tcPr>
            <w:tcW w:w="560" w:type="dxa"/>
            <w:shd w:val="clear" w:color="auto" w:fill="0B1F3A"/>
            <w:tcMar>
              <w:top w:w="70" w:type="dxa"/>
              <w:left w:w="110" w:type="dxa"/>
              <w:bottom w:w="70" w:type="dxa"/>
              <w:right w:w="110" w:type="dxa"/>
            </w:tcMar>
            <w:vAlign w:val="center"/>
          </w:tcPr>
          <w:p w14:paraId="3EDC53C7" w14:textId="77777777" w:rsidR="00E94315" w:rsidRDefault="00000000">
            <w:r>
              <w:rPr>
                <w:b/>
                <w:bCs/>
                <w:color w:val="FFFFFF"/>
                <w:sz w:val="18"/>
                <w:szCs w:val="18"/>
              </w:rPr>
              <w:t>#</w:t>
            </w:r>
          </w:p>
        </w:tc>
        <w:tc>
          <w:tcPr>
            <w:tcW w:w="6900" w:type="dxa"/>
            <w:shd w:val="clear" w:color="auto" w:fill="0B1F3A"/>
            <w:tcMar>
              <w:top w:w="70" w:type="dxa"/>
              <w:left w:w="110" w:type="dxa"/>
              <w:bottom w:w="70" w:type="dxa"/>
              <w:right w:w="110" w:type="dxa"/>
            </w:tcMar>
            <w:vAlign w:val="center"/>
          </w:tcPr>
          <w:p w14:paraId="2586C173" w14:textId="77777777" w:rsidR="00E94315" w:rsidRDefault="00000000">
            <w:pPr>
              <w:jc w:val="center"/>
            </w:pPr>
            <w:r>
              <w:rPr>
                <w:b/>
                <w:bCs/>
                <w:color w:val="FFFFFF"/>
                <w:sz w:val="18"/>
                <w:szCs w:val="18"/>
              </w:rPr>
              <w:t>Objective (question the analysis resolves)</w:t>
            </w:r>
          </w:p>
        </w:tc>
        <w:tc>
          <w:tcPr>
            <w:tcW w:w="1900" w:type="dxa"/>
            <w:shd w:val="clear" w:color="auto" w:fill="0B1F3A"/>
            <w:tcMar>
              <w:top w:w="70" w:type="dxa"/>
              <w:left w:w="110" w:type="dxa"/>
              <w:bottom w:w="70" w:type="dxa"/>
              <w:right w:w="110" w:type="dxa"/>
            </w:tcMar>
            <w:vAlign w:val="center"/>
          </w:tcPr>
          <w:p w14:paraId="3DB82F8B" w14:textId="77777777" w:rsidR="00E94315" w:rsidRDefault="00000000">
            <w:pPr>
              <w:jc w:val="center"/>
            </w:pPr>
            <w:r>
              <w:rPr>
                <w:b/>
                <w:bCs/>
                <w:color w:val="FFFFFF"/>
                <w:sz w:val="18"/>
                <w:szCs w:val="18"/>
              </w:rPr>
              <w:t>Module</w:t>
            </w:r>
          </w:p>
        </w:tc>
      </w:tr>
      <w:tr w:rsidR="00E94315" w14:paraId="331501FC" w14:textId="77777777">
        <w:tc>
          <w:tcPr>
            <w:tcW w:w="560" w:type="dxa"/>
            <w:shd w:val="clear" w:color="auto" w:fill="FFFFFF"/>
            <w:tcMar>
              <w:top w:w="70" w:type="dxa"/>
              <w:left w:w="110" w:type="dxa"/>
              <w:bottom w:w="70" w:type="dxa"/>
              <w:right w:w="110" w:type="dxa"/>
            </w:tcMar>
            <w:vAlign w:val="center"/>
          </w:tcPr>
          <w:p w14:paraId="796DFB68" w14:textId="77777777" w:rsidR="00E94315" w:rsidRDefault="00000000">
            <w:r>
              <w:rPr>
                <w:sz w:val="19"/>
                <w:szCs w:val="19"/>
              </w:rPr>
              <w:t>1</w:t>
            </w:r>
          </w:p>
        </w:tc>
        <w:tc>
          <w:tcPr>
            <w:tcW w:w="6900" w:type="dxa"/>
            <w:shd w:val="clear" w:color="auto" w:fill="FFFFFF"/>
            <w:tcMar>
              <w:top w:w="70" w:type="dxa"/>
              <w:left w:w="110" w:type="dxa"/>
              <w:bottom w:w="70" w:type="dxa"/>
              <w:right w:w="110" w:type="dxa"/>
            </w:tcMar>
            <w:vAlign w:val="center"/>
          </w:tcPr>
          <w:p w14:paraId="0B52D060" w14:textId="77777777" w:rsidR="00E94315" w:rsidRDefault="00000000">
            <w:pPr>
              <w:jc w:val="center"/>
            </w:pPr>
            <w:r>
              <w:rPr>
                <w:sz w:val="19"/>
                <w:szCs w:val="19"/>
              </w:rPr>
              <w:t>How engaged is the workforce, and where is engagement uneven?</w:t>
            </w:r>
          </w:p>
        </w:tc>
        <w:tc>
          <w:tcPr>
            <w:tcW w:w="1900" w:type="dxa"/>
            <w:shd w:val="clear" w:color="auto" w:fill="FFFFFF"/>
            <w:tcMar>
              <w:top w:w="70" w:type="dxa"/>
              <w:left w:w="110" w:type="dxa"/>
              <w:bottom w:w="70" w:type="dxa"/>
              <w:right w:w="110" w:type="dxa"/>
            </w:tcMar>
            <w:vAlign w:val="center"/>
          </w:tcPr>
          <w:p w14:paraId="0310B5A4" w14:textId="77777777" w:rsidR="00E94315" w:rsidRDefault="00000000">
            <w:pPr>
              <w:jc w:val="center"/>
            </w:pPr>
            <w:r>
              <w:rPr>
                <w:sz w:val="19"/>
                <w:szCs w:val="19"/>
              </w:rPr>
              <w:t>CORE</w:t>
            </w:r>
          </w:p>
        </w:tc>
      </w:tr>
      <w:tr w:rsidR="00E94315" w14:paraId="490A5BAC" w14:textId="77777777">
        <w:tc>
          <w:tcPr>
            <w:tcW w:w="560" w:type="dxa"/>
            <w:shd w:val="clear" w:color="auto" w:fill="F3F5F6"/>
            <w:tcMar>
              <w:top w:w="70" w:type="dxa"/>
              <w:left w:w="110" w:type="dxa"/>
              <w:bottom w:w="70" w:type="dxa"/>
              <w:right w:w="110" w:type="dxa"/>
            </w:tcMar>
            <w:vAlign w:val="center"/>
          </w:tcPr>
          <w:p w14:paraId="47F9FD3C" w14:textId="77777777" w:rsidR="00E94315" w:rsidRDefault="00000000">
            <w:r>
              <w:rPr>
                <w:sz w:val="19"/>
                <w:szCs w:val="19"/>
              </w:rPr>
              <w:t>2</w:t>
            </w:r>
          </w:p>
        </w:tc>
        <w:tc>
          <w:tcPr>
            <w:tcW w:w="6900" w:type="dxa"/>
            <w:shd w:val="clear" w:color="auto" w:fill="F3F5F6"/>
            <w:tcMar>
              <w:top w:w="70" w:type="dxa"/>
              <w:left w:w="110" w:type="dxa"/>
              <w:bottom w:w="70" w:type="dxa"/>
              <w:right w:w="110" w:type="dxa"/>
            </w:tcMar>
            <w:vAlign w:val="center"/>
          </w:tcPr>
          <w:p w14:paraId="5C74CBB9" w14:textId="77777777" w:rsidR="00E94315" w:rsidRDefault="00000000">
            <w:pPr>
              <w:jc w:val="center"/>
            </w:pPr>
            <w:r>
              <w:rPr>
                <w:sz w:val="19"/>
                <w:szCs w:val="19"/>
              </w:rPr>
              <w:t>Would employees recommend Northgate as a place to work — and what moves that?</w:t>
            </w:r>
          </w:p>
        </w:tc>
        <w:tc>
          <w:tcPr>
            <w:tcW w:w="1900" w:type="dxa"/>
            <w:shd w:val="clear" w:color="auto" w:fill="F3F5F6"/>
            <w:tcMar>
              <w:top w:w="70" w:type="dxa"/>
              <w:left w:w="110" w:type="dxa"/>
              <w:bottom w:w="70" w:type="dxa"/>
              <w:right w:w="110" w:type="dxa"/>
            </w:tcMar>
            <w:vAlign w:val="center"/>
          </w:tcPr>
          <w:p w14:paraId="07B86BC0" w14:textId="77777777" w:rsidR="00E94315" w:rsidRDefault="00000000">
            <w:pPr>
              <w:jc w:val="center"/>
            </w:pPr>
            <w:r>
              <w:rPr>
                <w:sz w:val="19"/>
                <w:szCs w:val="19"/>
              </w:rPr>
              <w:t>NPS</w:t>
            </w:r>
          </w:p>
        </w:tc>
      </w:tr>
      <w:tr w:rsidR="00E94315" w14:paraId="306C5F06" w14:textId="77777777">
        <w:tc>
          <w:tcPr>
            <w:tcW w:w="560" w:type="dxa"/>
            <w:shd w:val="clear" w:color="auto" w:fill="FFFFFF"/>
            <w:tcMar>
              <w:top w:w="70" w:type="dxa"/>
              <w:left w:w="110" w:type="dxa"/>
              <w:bottom w:w="70" w:type="dxa"/>
              <w:right w:w="110" w:type="dxa"/>
            </w:tcMar>
            <w:vAlign w:val="center"/>
          </w:tcPr>
          <w:p w14:paraId="2D6BB4CB" w14:textId="77777777" w:rsidR="00E94315" w:rsidRDefault="00000000">
            <w:r>
              <w:rPr>
                <w:sz w:val="19"/>
                <w:szCs w:val="19"/>
              </w:rPr>
              <w:t>3</w:t>
            </w:r>
          </w:p>
        </w:tc>
        <w:tc>
          <w:tcPr>
            <w:tcW w:w="6900" w:type="dxa"/>
            <w:shd w:val="clear" w:color="auto" w:fill="FFFFFF"/>
            <w:tcMar>
              <w:top w:w="70" w:type="dxa"/>
              <w:left w:w="110" w:type="dxa"/>
              <w:bottom w:w="70" w:type="dxa"/>
              <w:right w:w="110" w:type="dxa"/>
            </w:tcMar>
            <w:vAlign w:val="center"/>
          </w:tcPr>
          <w:p w14:paraId="1803AB63" w14:textId="77777777" w:rsidR="00E94315" w:rsidRDefault="00000000">
            <w:pPr>
              <w:jc w:val="center"/>
            </w:pPr>
            <w:r>
              <w:rPr>
                <w:sz w:val="19"/>
                <w:szCs w:val="19"/>
              </w:rPr>
              <w:t>Which working conditions matter most, and where do we under-deliver on what matters?</w:t>
            </w:r>
          </w:p>
        </w:tc>
        <w:tc>
          <w:tcPr>
            <w:tcW w:w="1900" w:type="dxa"/>
            <w:shd w:val="clear" w:color="auto" w:fill="FFFFFF"/>
            <w:tcMar>
              <w:top w:w="70" w:type="dxa"/>
              <w:left w:w="110" w:type="dxa"/>
              <w:bottom w:w="70" w:type="dxa"/>
              <w:right w:w="110" w:type="dxa"/>
            </w:tcMar>
            <w:vAlign w:val="center"/>
          </w:tcPr>
          <w:p w14:paraId="5FD2AE0F" w14:textId="77777777" w:rsidR="00E94315" w:rsidRDefault="00000000">
            <w:pPr>
              <w:jc w:val="center"/>
            </w:pPr>
            <w:r>
              <w:rPr>
                <w:sz w:val="19"/>
                <w:szCs w:val="19"/>
              </w:rPr>
              <w:t>GAP</w:t>
            </w:r>
          </w:p>
        </w:tc>
      </w:tr>
      <w:tr w:rsidR="00E94315" w14:paraId="2AD87B9A" w14:textId="77777777">
        <w:tc>
          <w:tcPr>
            <w:tcW w:w="560" w:type="dxa"/>
            <w:shd w:val="clear" w:color="auto" w:fill="F3F5F6"/>
            <w:tcMar>
              <w:top w:w="70" w:type="dxa"/>
              <w:left w:w="110" w:type="dxa"/>
              <w:bottom w:w="70" w:type="dxa"/>
              <w:right w:w="110" w:type="dxa"/>
            </w:tcMar>
            <w:vAlign w:val="center"/>
          </w:tcPr>
          <w:p w14:paraId="48864065" w14:textId="77777777" w:rsidR="00E94315" w:rsidRDefault="00000000">
            <w:r>
              <w:rPr>
                <w:sz w:val="19"/>
                <w:szCs w:val="19"/>
              </w:rPr>
              <w:t>4</w:t>
            </w:r>
          </w:p>
        </w:tc>
        <w:tc>
          <w:tcPr>
            <w:tcW w:w="6900" w:type="dxa"/>
            <w:shd w:val="clear" w:color="auto" w:fill="F3F5F6"/>
            <w:tcMar>
              <w:top w:w="70" w:type="dxa"/>
              <w:left w:w="110" w:type="dxa"/>
              <w:bottom w:w="70" w:type="dxa"/>
              <w:right w:w="110" w:type="dxa"/>
            </w:tcMar>
            <w:vAlign w:val="center"/>
          </w:tcPr>
          <w:p w14:paraId="61614D03" w14:textId="77777777" w:rsidR="00E94315" w:rsidRDefault="00000000">
            <w:pPr>
              <w:jc w:val="center"/>
            </w:pPr>
            <w:r>
              <w:rPr>
                <w:sz w:val="19"/>
                <w:szCs w:val="19"/>
              </w:rPr>
              <w:t>Where is burnout risk concentrated — and is it demand-driven or recovery-driven?</w:t>
            </w:r>
          </w:p>
        </w:tc>
        <w:tc>
          <w:tcPr>
            <w:tcW w:w="1900" w:type="dxa"/>
            <w:shd w:val="clear" w:color="auto" w:fill="F3F5F6"/>
            <w:tcMar>
              <w:top w:w="70" w:type="dxa"/>
              <w:left w:w="110" w:type="dxa"/>
              <w:bottom w:w="70" w:type="dxa"/>
              <w:right w:w="110" w:type="dxa"/>
            </w:tcMar>
            <w:vAlign w:val="center"/>
          </w:tcPr>
          <w:p w14:paraId="6CD462A0" w14:textId="77777777" w:rsidR="00E94315" w:rsidRDefault="00000000">
            <w:pPr>
              <w:jc w:val="center"/>
            </w:pPr>
            <w:r>
              <w:rPr>
                <w:sz w:val="19"/>
                <w:szCs w:val="19"/>
              </w:rPr>
              <w:t>BRN</w:t>
            </w:r>
          </w:p>
        </w:tc>
      </w:tr>
      <w:tr w:rsidR="00E94315" w14:paraId="4B49E3B6" w14:textId="77777777">
        <w:tc>
          <w:tcPr>
            <w:tcW w:w="560" w:type="dxa"/>
            <w:shd w:val="clear" w:color="auto" w:fill="FFFFFF"/>
            <w:tcMar>
              <w:top w:w="70" w:type="dxa"/>
              <w:left w:w="110" w:type="dxa"/>
              <w:bottom w:w="70" w:type="dxa"/>
              <w:right w:w="110" w:type="dxa"/>
            </w:tcMar>
            <w:vAlign w:val="center"/>
          </w:tcPr>
          <w:p w14:paraId="4E0A96F0" w14:textId="77777777" w:rsidR="00E94315" w:rsidRDefault="00000000">
            <w:r>
              <w:rPr>
                <w:sz w:val="19"/>
                <w:szCs w:val="19"/>
              </w:rPr>
              <w:t>5</w:t>
            </w:r>
          </w:p>
        </w:tc>
        <w:tc>
          <w:tcPr>
            <w:tcW w:w="6900" w:type="dxa"/>
            <w:shd w:val="clear" w:color="auto" w:fill="FFFFFF"/>
            <w:tcMar>
              <w:top w:w="70" w:type="dxa"/>
              <w:left w:w="110" w:type="dxa"/>
              <w:bottom w:w="70" w:type="dxa"/>
              <w:right w:w="110" w:type="dxa"/>
            </w:tcMar>
            <w:vAlign w:val="center"/>
          </w:tcPr>
          <w:p w14:paraId="074D66C8" w14:textId="77777777" w:rsidR="00E94315" w:rsidRDefault="00000000">
            <w:pPr>
              <w:jc w:val="center"/>
            </w:pPr>
            <w:r>
              <w:rPr>
                <w:sz w:val="19"/>
                <w:szCs w:val="19"/>
              </w:rPr>
              <w:t xml:space="preserve">What actually predicts intent to stay, and which levers are cheapest per point of retention?</w:t>
            </w:r>
          </w:p>
        </w:tc>
        <w:tc>
          <w:tcPr>
            <w:tcW w:w="1900" w:type="dxa"/>
            <w:shd w:val="clear" w:color="auto" w:fill="FFFFFF"/>
            <w:tcMar>
              <w:top w:w="70" w:type="dxa"/>
              <w:left w:w="110" w:type="dxa"/>
              <w:bottom w:w="70" w:type="dxa"/>
              <w:right w:w="110" w:type="dxa"/>
            </w:tcMar>
            <w:vAlign w:val="center"/>
          </w:tcPr>
          <w:p w14:paraId="3F6CC838" w14:textId="77777777" w:rsidR="00E94315" w:rsidRDefault="00000000">
            <w:pPr>
              <w:jc w:val="center"/>
            </w:pPr>
            <w:r>
              <w:rPr>
                <w:sz w:val="19"/>
                <w:szCs w:val="19"/>
              </w:rPr>
              <w:t>STAY</w:t>
            </w:r>
          </w:p>
        </w:tc>
      </w:tr>
    </w:tbl>
    <w:p w14:paraId="72C85462" w14:textId="683FE90C" w:rsidR="00E94315" w:rsidRPr="00465909" w:rsidRDefault="00000000" w:rsidP="00465909">
      <w:pPr>
        <w:spacing w:after="140"/>
      </w:pPr>
      <w:r>
        <w:t>Open-ended responses (module OPEN) cut across all five objectives and are reported in §4.5.</w:t>
      </w:r>
    </w:p>
    <w:p w14:paraId="0A5A1BD5" w14:textId="77777777" w:rsidR="00E94315" w:rsidRDefault="00000000">
      <w:pPr>
        <w:pStyle w:val="Heading1"/>
        <w:spacing w:before="320" w:after="160"/>
      </w:pPr>
      <w:r>
        <w:rPr>
          <w:rFonts w:ascii="Poppins SemiBold" w:eastAsia="Poppins SemiBold" w:hAnsi="Poppins SemiBold" w:cs="Poppins SemiBold"/>
          <w:color w:val="0B7472"/>
          <w:sz w:val="30"/>
          <w:szCs w:val="30"/>
        </w:rPr>
        <w:t xml:space="preserve">03  </w:t>
      </w:r>
      <w:r>
        <w:rPr>
          <w:rFonts w:ascii="Poppins SemiBold" w:eastAsia="Poppins SemiBold" w:hAnsi="Poppins SemiBold" w:cs="Poppins SemiBold"/>
          <w:color w:val="0B1F3A"/>
          <w:sz w:val="30"/>
          <w:szCs w:val="30"/>
        </w:rPr>
        <w:t xml:space="preserve">Method and sample</w:t>
      </w:r>
    </w:p>
    <w:p w14:paraId="3DEA60F8" w14:textId="77777777" w:rsidR="00E94315" w:rsidRDefault="00000000">
      <w:pPr>
        <w:pStyle w:val="Heading2"/>
        <w:spacing w:before="240" w:after="120"/>
      </w:pPr>
      <w:r>
        <w:rPr>
          <w:rFonts w:ascii="Poppins SemiBold" w:eastAsia="Poppins SemiBold" w:hAnsi="Poppins SemiBold" w:cs="Poppins SemiBold"/>
          <w:color w:val="0B1F3A"/>
          <w:sz w:val="24"/>
          <w:szCs w:val="24"/>
        </w:rPr>
        <w:t>Design and instrument</w:t>
      </w:r>
    </w:p>
    <w:p w14:paraId="6396D279" w14:textId="77777777" w:rsidR="00E94315" w:rsidRDefault="00000000">
      <w:pPr>
        <w:spacing w:after="140"/>
      </w:pPr>
      <w:r>
        <w:t xml:space="preserve">Anonymous online census of all employees; kiosk stations provided on production floors for employees without company email. Median completion time 13.4 minutes. The instrument combined six modules (CORE engagement, eNPS, importance × satisfaction matrix, burnout screen, retention intent, open-ended), 74 closed items plus three open-ends. All items are original Measure &amp; Meaning formulations; item IDs, scales, and provenance are documented in Appendix A.</w:t>
      </w:r>
    </w:p>
    <w:p w14:paraId="2C1557A1" w14:textId="77777777" w:rsidR="00E94315" w:rsidRDefault="00000000">
      <w:pPr>
        <w:spacing w:after="140"/>
      </w:pPr>
      <w:r>
        <w:rPr>
          <w:b/>
          <w:bCs/>
        </w:rPr>
        <w:t xml:space="preserve">Scales. </w:t>
      </w:r>
      <w:r>
        <w:t xml:space="preserve">Agreement items use a 5-point Likert scale. Importance and satisfaction are each rated on 7-point, fully verbalized scales; satisfaction items offer an off-scale “Not applicable / no experience with this” option, excluded from means and reported as a coverage statistic (Appendix A explains the rationale). eNPS uses the canonical 0–10 scale.</w:t>
      </w:r>
    </w:p>
    <w:p w14:paraId="49CF9600" w14:textId="77777777" w:rsidR="00E94315" w:rsidRDefault="00000000">
      <w:pPr>
        <w:pStyle w:val="Heading2"/>
        <w:spacing w:before="240" w:after="120"/>
      </w:pPr>
      <w:r>
        <w:rPr>
          <w:rFonts w:ascii="Poppins SemiBold" w:eastAsia="Poppins SemiBold" w:hAnsi="Poppins SemiBold" w:cs="Poppins SemiBold"/>
          <w:color w:val="0B1F3A"/>
          <w:sz w:val="24"/>
          <w:szCs w:val="24"/>
        </w:rPr>
        <w:t>Sample and coverage</w:t>
      </w:r>
    </w:p>
    <w:tbl>
      <w:tblPr>
        <w:tblStyle w:val="a3"/>
        <w:tblW w:w="985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2600"/>
        <w:gridCol w:w="1250"/>
        <w:gridCol w:w="1400"/>
        <w:gridCol w:w="1750"/>
        <w:gridCol w:w="1500"/>
        <w:gridCol w:w="1350"/>
      </w:tblGrid>
      <w:tr w:rsidR="00E94315" w14:paraId="3BE5BDCF" w14:textId="77777777">
        <w:trPr>
          <w:tblHeader/>
        </w:trPr>
        <w:tc>
          <w:tcPr>
            <w:tcW w:w="2600" w:type="dxa"/>
            <w:shd w:val="clear" w:color="auto" w:fill="0B1F3A"/>
            <w:tcMar>
              <w:top w:w="70" w:type="dxa"/>
              <w:left w:w="110" w:type="dxa"/>
              <w:bottom w:w="70" w:type="dxa"/>
              <w:right w:w="110" w:type="dxa"/>
            </w:tcMar>
            <w:vAlign w:val="center"/>
          </w:tcPr>
          <w:p w14:paraId="3BBA6806" w14:textId="77777777" w:rsidR="00E94315" w:rsidRDefault="00000000">
            <w:r>
              <w:rPr>
                <w:b/>
                <w:bCs/>
                <w:color w:val="FFFFFF"/>
                <w:sz w:val="18"/>
                <w:szCs w:val="18"/>
              </w:rPr>
              <w:t>Unit</w:t>
            </w:r>
          </w:p>
        </w:tc>
        <w:tc>
          <w:tcPr>
            <w:tcW w:w="1250" w:type="dxa"/>
            <w:shd w:val="clear" w:color="auto" w:fill="0B1F3A"/>
            <w:tcMar>
              <w:top w:w="70" w:type="dxa"/>
              <w:left w:w="110" w:type="dxa"/>
              <w:bottom w:w="70" w:type="dxa"/>
              <w:right w:w="110" w:type="dxa"/>
            </w:tcMar>
            <w:vAlign w:val="center"/>
          </w:tcPr>
          <w:p w14:paraId="793588D7" w14:textId="77777777" w:rsidR="00E94315" w:rsidRDefault="00000000">
            <w:pPr>
              <w:jc w:val="center"/>
            </w:pPr>
            <w:r>
              <w:rPr>
                <w:b/>
                <w:bCs/>
                <w:color w:val="FFFFFF"/>
                <w:sz w:val="18"/>
                <w:szCs w:val="18"/>
              </w:rPr>
              <w:t>Invited</w:t>
            </w:r>
          </w:p>
        </w:tc>
        <w:tc>
          <w:tcPr>
            <w:tcW w:w="1400" w:type="dxa"/>
            <w:shd w:val="clear" w:color="auto" w:fill="0B1F3A"/>
            <w:tcMar>
              <w:top w:w="70" w:type="dxa"/>
              <w:left w:w="110" w:type="dxa"/>
              <w:bottom w:w="70" w:type="dxa"/>
              <w:right w:w="110" w:type="dxa"/>
            </w:tcMar>
            <w:vAlign w:val="center"/>
          </w:tcPr>
          <w:p w14:paraId="15CF9812" w14:textId="77777777" w:rsidR="00E94315" w:rsidRDefault="00000000">
            <w:pPr>
              <w:jc w:val="center"/>
            </w:pPr>
            <w:r>
              <w:rPr>
                <w:b/>
                <w:bCs/>
                <w:color w:val="FFFFFF"/>
                <w:sz w:val="18"/>
                <w:szCs w:val="18"/>
              </w:rPr>
              <w:t>Completed</w:t>
            </w:r>
          </w:p>
        </w:tc>
        <w:tc>
          <w:tcPr>
            <w:tcW w:w="1750" w:type="dxa"/>
            <w:shd w:val="clear" w:color="auto" w:fill="0B1F3A"/>
            <w:tcMar>
              <w:top w:w="70" w:type="dxa"/>
              <w:left w:w="110" w:type="dxa"/>
              <w:bottom w:w="70" w:type="dxa"/>
              <w:right w:w="110" w:type="dxa"/>
            </w:tcMar>
            <w:vAlign w:val="center"/>
          </w:tcPr>
          <w:p w14:paraId="580996AC" w14:textId="77777777" w:rsidR="00E94315" w:rsidRDefault="00000000">
            <w:pPr>
              <w:jc w:val="center"/>
            </w:pPr>
            <w:r>
              <w:rPr>
                <w:b/>
                <w:bCs/>
                <w:color w:val="FFFFFF"/>
                <w:sz w:val="18"/>
                <w:szCs w:val="18"/>
              </w:rPr>
              <w:t>After screening</w:t>
            </w:r>
          </w:p>
        </w:tc>
        <w:tc>
          <w:tcPr>
            <w:tcW w:w="1500" w:type="dxa"/>
            <w:shd w:val="clear" w:color="auto" w:fill="0B1F3A"/>
            <w:tcMar>
              <w:top w:w="70" w:type="dxa"/>
              <w:left w:w="110" w:type="dxa"/>
              <w:bottom w:w="70" w:type="dxa"/>
              <w:right w:w="110" w:type="dxa"/>
            </w:tcMar>
            <w:vAlign w:val="center"/>
          </w:tcPr>
          <w:p w14:paraId="02E61DCE" w14:textId="77777777" w:rsidR="00E94315" w:rsidRDefault="00000000">
            <w:pPr>
              <w:jc w:val="center"/>
            </w:pPr>
            <w:r>
              <w:rPr>
                <w:b/>
                <w:bCs/>
                <w:color w:val="FFFFFF"/>
                <w:sz w:val="18"/>
                <w:szCs w:val="18"/>
              </w:rPr>
              <w:t>Response rate</w:t>
            </w:r>
          </w:p>
        </w:tc>
        <w:tc>
          <w:tcPr>
            <w:tcW w:w="1350" w:type="dxa"/>
            <w:shd w:val="clear" w:color="auto" w:fill="0B1F3A"/>
            <w:tcMar>
              <w:top w:w="70" w:type="dxa"/>
              <w:left w:w="110" w:type="dxa"/>
              <w:bottom w:w="70" w:type="dxa"/>
              <w:right w:w="110" w:type="dxa"/>
            </w:tcMar>
            <w:vAlign w:val="center"/>
          </w:tcPr>
          <w:p w14:paraId="511208BB" w14:textId="77777777" w:rsidR="00E94315" w:rsidRDefault="00000000">
            <w:pPr>
              <w:jc w:val="center"/>
            </w:pPr>
            <w:r>
              <w:rPr>
                <w:b/>
                <w:bCs/>
                <w:color w:val="FFFFFF"/>
                <w:sz w:val="18"/>
                <w:szCs w:val="18"/>
              </w:rPr>
              <w:t xml:space="preserve">MoE (95%)</w:t>
            </w:r>
          </w:p>
        </w:tc>
      </w:tr>
      <w:tr w:rsidR="00E94315" w14:paraId="66CE1AA9" w14:textId="77777777">
        <w:tc>
          <w:tcPr>
            <w:tcW w:w="2600" w:type="dxa"/>
            <w:shd w:val="clear" w:color="auto" w:fill="FFFFFF"/>
            <w:tcMar>
              <w:top w:w="70" w:type="dxa"/>
              <w:left w:w="110" w:type="dxa"/>
              <w:bottom w:w="70" w:type="dxa"/>
              <w:right w:w="110" w:type="dxa"/>
            </w:tcMar>
            <w:vAlign w:val="center"/>
          </w:tcPr>
          <w:p w14:paraId="77AF90CD" w14:textId="77777777" w:rsidR="00E94315" w:rsidRDefault="00000000">
            <w:r>
              <w:rPr>
                <w:sz w:val="19"/>
                <w:szCs w:val="19"/>
              </w:rPr>
              <w:t>Production</w:t>
            </w:r>
          </w:p>
        </w:tc>
        <w:tc>
          <w:tcPr>
            <w:tcW w:w="1250" w:type="dxa"/>
            <w:shd w:val="clear" w:color="auto" w:fill="FFFFFF"/>
            <w:tcMar>
              <w:top w:w="70" w:type="dxa"/>
              <w:left w:w="110" w:type="dxa"/>
              <w:bottom w:w="70" w:type="dxa"/>
              <w:right w:w="110" w:type="dxa"/>
            </w:tcMar>
            <w:vAlign w:val="center"/>
          </w:tcPr>
          <w:p w14:paraId="25530A2D" w14:textId="77777777" w:rsidR="00E94315" w:rsidRDefault="00000000">
            <w:pPr>
              <w:jc w:val="center"/>
            </w:pPr>
            <w:r>
              <w:rPr>
                <w:sz w:val="19"/>
                <w:szCs w:val="19"/>
              </w:rPr>
              <w:t>648</w:t>
            </w:r>
          </w:p>
        </w:tc>
        <w:tc>
          <w:tcPr>
            <w:tcW w:w="1400" w:type="dxa"/>
            <w:shd w:val="clear" w:color="auto" w:fill="FFFFFF"/>
            <w:tcMar>
              <w:top w:w="70" w:type="dxa"/>
              <w:left w:w="110" w:type="dxa"/>
              <w:bottom w:w="70" w:type="dxa"/>
              <w:right w:w="110" w:type="dxa"/>
            </w:tcMar>
            <w:vAlign w:val="center"/>
          </w:tcPr>
          <w:p w14:paraId="7DBA2401" w14:textId="77777777" w:rsidR="00E94315" w:rsidRDefault="00000000">
            <w:pPr>
              <w:jc w:val="center"/>
            </w:pPr>
            <w:r>
              <w:rPr>
                <w:sz w:val="19"/>
                <w:szCs w:val="19"/>
              </w:rPr>
              <w:t>531</w:t>
            </w:r>
          </w:p>
        </w:tc>
        <w:tc>
          <w:tcPr>
            <w:tcW w:w="1750" w:type="dxa"/>
            <w:shd w:val="clear" w:color="auto" w:fill="FFFFFF"/>
            <w:tcMar>
              <w:top w:w="70" w:type="dxa"/>
              <w:left w:w="110" w:type="dxa"/>
              <w:bottom w:w="70" w:type="dxa"/>
              <w:right w:w="110" w:type="dxa"/>
            </w:tcMar>
            <w:vAlign w:val="center"/>
          </w:tcPr>
          <w:p w14:paraId="69043B63" w14:textId="77777777" w:rsidR="00E94315" w:rsidRDefault="00000000">
            <w:pPr>
              <w:jc w:val="center"/>
            </w:pPr>
            <w:r>
              <w:rPr>
                <w:sz w:val="19"/>
                <w:szCs w:val="19"/>
              </w:rPr>
              <w:t>512</w:t>
            </w:r>
          </w:p>
        </w:tc>
        <w:tc>
          <w:tcPr>
            <w:tcW w:w="1500" w:type="dxa"/>
            <w:shd w:val="clear" w:color="auto" w:fill="FFFFFF"/>
            <w:tcMar>
              <w:top w:w="70" w:type="dxa"/>
              <w:left w:w="110" w:type="dxa"/>
              <w:bottom w:w="70" w:type="dxa"/>
              <w:right w:w="110" w:type="dxa"/>
            </w:tcMar>
            <w:vAlign w:val="center"/>
          </w:tcPr>
          <w:p w14:paraId="62673CEC" w14:textId="77777777" w:rsidR="00E94315" w:rsidRDefault="00000000">
            <w:pPr>
              <w:jc w:val="center"/>
            </w:pPr>
            <w:r>
              <w:rPr>
                <w:sz w:val="19"/>
                <w:szCs w:val="19"/>
              </w:rPr>
              <w:t>82%</w:t>
            </w:r>
          </w:p>
        </w:tc>
        <w:tc>
          <w:tcPr>
            <w:tcW w:w="1350" w:type="dxa"/>
            <w:shd w:val="clear" w:color="auto" w:fill="FFFFFF"/>
            <w:tcMar>
              <w:top w:w="70" w:type="dxa"/>
              <w:left w:w="110" w:type="dxa"/>
              <w:bottom w:w="70" w:type="dxa"/>
              <w:right w:w="110" w:type="dxa"/>
            </w:tcMar>
            <w:vAlign w:val="center"/>
          </w:tcPr>
          <w:p w14:paraId="2D992285" w14:textId="77777777" w:rsidR="00E94315" w:rsidRDefault="00000000">
            <w:pPr>
              <w:jc w:val="center"/>
            </w:pPr>
            <w:r>
              <w:rPr>
                <w:sz w:val="19"/>
                <w:szCs w:val="19"/>
              </w:rPr>
              <w:t>±2.0 pp</w:t>
            </w:r>
          </w:p>
        </w:tc>
      </w:tr>
      <w:tr w:rsidR="00E94315" w14:paraId="0F43D1E1" w14:textId="77777777">
        <w:tc>
          <w:tcPr>
            <w:tcW w:w="2600" w:type="dxa"/>
            <w:shd w:val="clear" w:color="auto" w:fill="F3F5F6"/>
            <w:tcMar>
              <w:top w:w="70" w:type="dxa"/>
              <w:left w:w="110" w:type="dxa"/>
              <w:bottom w:w="70" w:type="dxa"/>
              <w:right w:w="110" w:type="dxa"/>
            </w:tcMar>
            <w:vAlign w:val="center"/>
          </w:tcPr>
          <w:p w14:paraId="0BE1B724" w14:textId="77777777" w:rsidR="00E94315" w:rsidRDefault="00000000">
            <w:r>
              <w:rPr>
                <w:sz w:val="19"/>
                <w:szCs w:val="19"/>
              </w:rPr>
              <w:t>Warehouse &amp; Logistics</w:t>
            </w:r>
          </w:p>
        </w:tc>
        <w:tc>
          <w:tcPr>
            <w:tcW w:w="1250" w:type="dxa"/>
            <w:shd w:val="clear" w:color="auto" w:fill="F3F5F6"/>
            <w:tcMar>
              <w:top w:w="70" w:type="dxa"/>
              <w:left w:w="110" w:type="dxa"/>
              <w:bottom w:w="70" w:type="dxa"/>
              <w:right w:w="110" w:type="dxa"/>
            </w:tcMar>
            <w:vAlign w:val="center"/>
          </w:tcPr>
          <w:p w14:paraId="6D3B8936" w14:textId="77777777" w:rsidR="00E94315" w:rsidRDefault="00000000">
            <w:pPr>
              <w:jc w:val="center"/>
            </w:pPr>
            <w:r>
              <w:rPr>
                <w:sz w:val="19"/>
                <w:szCs w:val="19"/>
              </w:rPr>
              <w:t>203</w:t>
            </w:r>
          </w:p>
        </w:tc>
        <w:tc>
          <w:tcPr>
            <w:tcW w:w="1400" w:type="dxa"/>
            <w:shd w:val="clear" w:color="auto" w:fill="F3F5F6"/>
            <w:tcMar>
              <w:top w:w="70" w:type="dxa"/>
              <w:left w:w="110" w:type="dxa"/>
              <w:bottom w:w="70" w:type="dxa"/>
              <w:right w:w="110" w:type="dxa"/>
            </w:tcMar>
            <w:vAlign w:val="center"/>
          </w:tcPr>
          <w:p w14:paraId="200BD21B" w14:textId="77777777" w:rsidR="00E94315" w:rsidRDefault="00000000">
            <w:pPr>
              <w:jc w:val="center"/>
            </w:pPr>
            <w:r>
              <w:rPr>
                <w:sz w:val="19"/>
                <w:szCs w:val="19"/>
              </w:rPr>
              <w:t>174</w:t>
            </w:r>
          </w:p>
        </w:tc>
        <w:tc>
          <w:tcPr>
            <w:tcW w:w="1750" w:type="dxa"/>
            <w:shd w:val="clear" w:color="auto" w:fill="F3F5F6"/>
            <w:tcMar>
              <w:top w:w="70" w:type="dxa"/>
              <w:left w:w="110" w:type="dxa"/>
              <w:bottom w:w="70" w:type="dxa"/>
              <w:right w:w="110" w:type="dxa"/>
            </w:tcMar>
            <w:vAlign w:val="center"/>
          </w:tcPr>
          <w:p w14:paraId="00882875" w14:textId="77777777" w:rsidR="00E94315" w:rsidRDefault="00000000">
            <w:pPr>
              <w:jc w:val="center"/>
            </w:pPr>
            <w:r>
              <w:rPr>
                <w:sz w:val="19"/>
                <w:szCs w:val="19"/>
              </w:rPr>
              <w:t>168</w:t>
            </w:r>
          </w:p>
        </w:tc>
        <w:tc>
          <w:tcPr>
            <w:tcW w:w="1500" w:type="dxa"/>
            <w:shd w:val="clear" w:color="auto" w:fill="F3F5F6"/>
            <w:tcMar>
              <w:top w:w="70" w:type="dxa"/>
              <w:left w:w="110" w:type="dxa"/>
              <w:bottom w:w="70" w:type="dxa"/>
              <w:right w:w="110" w:type="dxa"/>
            </w:tcMar>
            <w:vAlign w:val="center"/>
          </w:tcPr>
          <w:p w14:paraId="0284D165" w14:textId="77777777" w:rsidR="00E94315" w:rsidRDefault="00000000">
            <w:pPr>
              <w:jc w:val="center"/>
            </w:pPr>
            <w:r>
              <w:rPr>
                <w:sz w:val="19"/>
                <w:szCs w:val="19"/>
              </w:rPr>
              <w:t>86%</w:t>
            </w:r>
          </w:p>
        </w:tc>
        <w:tc>
          <w:tcPr>
            <w:tcW w:w="1350" w:type="dxa"/>
            <w:shd w:val="clear" w:color="auto" w:fill="F3F5F6"/>
            <w:tcMar>
              <w:top w:w="70" w:type="dxa"/>
              <w:left w:w="110" w:type="dxa"/>
              <w:bottom w:w="70" w:type="dxa"/>
              <w:right w:w="110" w:type="dxa"/>
            </w:tcMar>
            <w:vAlign w:val="center"/>
          </w:tcPr>
          <w:p w14:paraId="3C61CEB5" w14:textId="77777777" w:rsidR="00E94315" w:rsidRDefault="00000000">
            <w:pPr>
              <w:jc w:val="center"/>
            </w:pPr>
            <w:r>
              <w:rPr>
                <w:sz w:val="19"/>
                <w:szCs w:val="19"/>
              </w:rPr>
              <w:t>±3.1 pp</w:t>
            </w:r>
          </w:p>
        </w:tc>
      </w:tr>
      <w:tr w:rsidR="00E94315" w14:paraId="6EDF7172" w14:textId="77777777">
        <w:tc>
          <w:tcPr>
            <w:tcW w:w="2600" w:type="dxa"/>
            <w:shd w:val="clear" w:color="auto" w:fill="FFFFFF"/>
            <w:tcMar>
              <w:top w:w="70" w:type="dxa"/>
              <w:left w:w="110" w:type="dxa"/>
              <w:bottom w:w="70" w:type="dxa"/>
              <w:right w:w="110" w:type="dxa"/>
            </w:tcMar>
            <w:vAlign w:val="center"/>
          </w:tcPr>
          <w:p w14:paraId="37D760FB" w14:textId="77777777" w:rsidR="00E94315" w:rsidRDefault="00000000">
            <w:r>
              <w:rPr>
                <w:sz w:val="19"/>
                <w:szCs w:val="19"/>
              </w:rPr>
              <w:t>Engineering</w:t>
            </w:r>
          </w:p>
        </w:tc>
        <w:tc>
          <w:tcPr>
            <w:tcW w:w="1250" w:type="dxa"/>
            <w:shd w:val="clear" w:color="auto" w:fill="FFFFFF"/>
            <w:tcMar>
              <w:top w:w="70" w:type="dxa"/>
              <w:left w:w="110" w:type="dxa"/>
              <w:bottom w:w="70" w:type="dxa"/>
              <w:right w:w="110" w:type="dxa"/>
            </w:tcMar>
            <w:vAlign w:val="center"/>
          </w:tcPr>
          <w:p w14:paraId="5CB05885" w14:textId="77777777" w:rsidR="00E94315" w:rsidRDefault="00000000">
            <w:pPr>
              <w:jc w:val="center"/>
            </w:pPr>
            <w:r>
              <w:rPr>
                <w:sz w:val="19"/>
                <w:szCs w:val="19"/>
              </w:rPr>
              <w:t>108</w:t>
            </w:r>
          </w:p>
        </w:tc>
        <w:tc>
          <w:tcPr>
            <w:tcW w:w="1400" w:type="dxa"/>
            <w:shd w:val="clear" w:color="auto" w:fill="FFFFFF"/>
            <w:tcMar>
              <w:top w:w="70" w:type="dxa"/>
              <w:left w:w="110" w:type="dxa"/>
              <w:bottom w:w="70" w:type="dxa"/>
              <w:right w:w="110" w:type="dxa"/>
            </w:tcMar>
            <w:vAlign w:val="center"/>
          </w:tcPr>
          <w:p w14:paraId="7440D043" w14:textId="77777777" w:rsidR="00E94315" w:rsidRDefault="00000000">
            <w:pPr>
              <w:jc w:val="center"/>
            </w:pPr>
            <w:r>
              <w:rPr>
                <w:sz w:val="19"/>
                <w:szCs w:val="19"/>
              </w:rPr>
              <w:t>96</w:t>
            </w:r>
          </w:p>
        </w:tc>
        <w:tc>
          <w:tcPr>
            <w:tcW w:w="1750" w:type="dxa"/>
            <w:shd w:val="clear" w:color="auto" w:fill="FFFFFF"/>
            <w:tcMar>
              <w:top w:w="70" w:type="dxa"/>
              <w:left w:w="110" w:type="dxa"/>
              <w:bottom w:w="70" w:type="dxa"/>
              <w:right w:w="110" w:type="dxa"/>
            </w:tcMar>
            <w:vAlign w:val="center"/>
          </w:tcPr>
          <w:p w14:paraId="75829465" w14:textId="77777777" w:rsidR="00E94315" w:rsidRDefault="00000000">
            <w:pPr>
              <w:jc w:val="center"/>
            </w:pPr>
            <w:r>
              <w:rPr>
                <w:sz w:val="19"/>
                <w:szCs w:val="19"/>
              </w:rPr>
              <w:t>94</w:t>
            </w:r>
          </w:p>
        </w:tc>
        <w:tc>
          <w:tcPr>
            <w:tcW w:w="1500" w:type="dxa"/>
            <w:shd w:val="clear" w:color="auto" w:fill="FFFFFF"/>
            <w:tcMar>
              <w:top w:w="70" w:type="dxa"/>
              <w:left w:w="110" w:type="dxa"/>
              <w:bottom w:w="70" w:type="dxa"/>
              <w:right w:w="110" w:type="dxa"/>
            </w:tcMar>
            <w:vAlign w:val="center"/>
          </w:tcPr>
          <w:p w14:paraId="2D83E2D9" w14:textId="77777777" w:rsidR="00E94315" w:rsidRDefault="00000000">
            <w:pPr>
              <w:jc w:val="center"/>
            </w:pPr>
            <w:r>
              <w:rPr>
                <w:sz w:val="19"/>
                <w:szCs w:val="19"/>
              </w:rPr>
              <w:t>89%</w:t>
            </w:r>
          </w:p>
        </w:tc>
        <w:tc>
          <w:tcPr>
            <w:tcW w:w="1350" w:type="dxa"/>
            <w:shd w:val="clear" w:color="auto" w:fill="FFFFFF"/>
            <w:tcMar>
              <w:top w:w="70" w:type="dxa"/>
              <w:left w:w="110" w:type="dxa"/>
              <w:bottom w:w="70" w:type="dxa"/>
              <w:right w:w="110" w:type="dxa"/>
            </w:tcMar>
            <w:vAlign w:val="center"/>
          </w:tcPr>
          <w:p w14:paraId="37A277EC" w14:textId="77777777" w:rsidR="00E94315" w:rsidRDefault="00000000">
            <w:pPr>
              <w:jc w:val="center"/>
            </w:pPr>
            <w:r>
              <w:rPr>
                <w:sz w:val="19"/>
                <w:szCs w:val="19"/>
              </w:rPr>
              <w:t>±3.6 pp</w:t>
            </w:r>
          </w:p>
        </w:tc>
      </w:tr>
      <w:tr w:rsidR="00E94315" w14:paraId="1D9B1187" w14:textId="77777777">
        <w:tc>
          <w:tcPr>
            <w:tcW w:w="2600" w:type="dxa"/>
            <w:shd w:val="clear" w:color="auto" w:fill="F3F5F6"/>
            <w:tcMar>
              <w:top w:w="70" w:type="dxa"/>
              <w:left w:w="110" w:type="dxa"/>
              <w:bottom w:w="70" w:type="dxa"/>
              <w:right w:w="110" w:type="dxa"/>
            </w:tcMar>
            <w:vAlign w:val="center"/>
          </w:tcPr>
          <w:p w14:paraId="0D102504" w14:textId="77777777" w:rsidR="00E94315" w:rsidRDefault="00000000">
            <w:r>
              <w:rPr>
                <w:sz w:val="19"/>
                <w:szCs w:val="19"/>
              </w:rPr>
              <w:t>Sales &amp; Customer Ops</w:t>
            </w:r>
          </w:p>
        </w:tc>
        <w:tc>
          <w:tcPr>
            <w:tcW w:w="1250" w:type="dxa"/>
            <w:shd w:val="clear" w:color="auto" w:fill="F3F5F6"/>
            <w:tcMar>
              <w:top w:w="70" w:type="dxa"/>
              <w:left w:w="110" w:type="dxa"/>
              <w:bottom w:w="70" w:type="dxa"/>
              <w:right w:w="110" w:type="dxa"/>
            </w:tcMar>
            <w:vAlign w:val="center"/>
          </w:tcPr>
          <w:p w14:paraId="3F68D502" w14:textId="77777777" w:rsidR="00E94315" w:rsidRDefault="00000000">
            <w:pPr>
              <w:jc w:val="center"/>
            </w:pPr>
            <w:r>
              <w:rPr>
                <w:sz w:val="19"/>
                <w:szCs w:val="19"/>
              </w:rPr>
              <w:t>96</w:t>
            </w:r>
          </w:p>
        </w:tc>
        <w:tc>
          <w:tcPr>
            <w:tcW w:w="1400" w:type="dxa"/>
            <w:shd w:val="clear" w:color="auto" w:fill="F3F5F6"/>
            <w:tcMar>
              <w:top w:w="70" w:type="dxa"/>
              <w:left w:w="110" w:type="dxa"/>
              <w:bottom w:w="70" w:type="dxa"/>
              <w:right w:w="110" w:type="dxa"/>
            </w:tcMar>
            <w:vAlign w:val="center"/>
          </w:tcPr>
          <w:p w14:paraId="33C07D4D" w14:textId="77777777" w:rsidR="00E94315" w:rsidRDefault="00000000">
            <w:pPr>
              <w:jc w:val="center"/>
            </w:pPr>
            <w:r>
              <w:rPr>
                <w:sz w:val="19"/>
                <w:szCs w:val="19"/>
              </w:rPr>
              <w:t>83</w:t>
            </w:r>
          </w:p>
        </w:tc>
        <w:tc>
          <w:tcPr>
            <w:tcW w:w="1750" w:type="dxa"/>
            <w:shd w:val="clear" w:color="auto" w:fill="F3F5F6"/>
            <w:tcMar>
              <w:top w:w="70" w:type="dxa"/>
              <w:left w:w="110" w:type="dxa"/>
              <w:bottom w:w="70" w:type="dxa"/>
              <w:right w:w="110" w:type="dxa"/>
            </w:tcMar>
            <w:vAlign w:val="center"/>
          </w:tcPr>
          <w:p w14:paraId="7A93C910" w14:textId="77777777" w:rsidR="00E94315" w:rsidRDefault="00000000">
            <w:pPr>
              <w:jc w:val="center"/>
            </w:pPr>
            <w:r>
              <w:rPr>
                <w:sz w:val="19"/>
                <w:szCs w:val="19"/>
              </w:rPr>
              <w:t>81</w:t>
            </w:r>
          </w:p>
        </w:tc>
        <w:tc>
          <w:tcPr>
            <w:tcW w:w="1500" w:type="dxa"/>
            <w:shd w:val="clear" w:color="auto" w:fill="F3F5F6"/>
            <w:tcMar>
              <w:top w:w="70" w:type="dxa"/>
              <w:left w:w="110" w:type="dxa"/>
              <w:bottom w:w="70" w:type="dxa"/>
              <w:right w:w="110" w:type="dxa"/>
            </w:tcMar>
            <w:vAlign w:val="center"/>
          </w:tcPr>
          <w:p w14:paraId="12955FB4" w14:textId="77777777" w:rsidR="00E94315" w:rsidRDefault="00000000">
            <w:pPr>
              <w:jc w:val="center"/>
            </w:pPr>
            <w:r>
              <w:rPr>
                <w:sz w:val="19"/>
                <w:szCs w:val="19"/>
              </w:rPr>
              <w:t>86%</w:t>
            </w:r>
          </w:p>
        </w:tc>
        <w:tc>
          <w:tcPr>
            <w:tcW w:w="1350" w:type="dxa"/>
            <w:shd w:val="clear" w:color="auto" w:fill="F3F5F6"/>
            <w:tcMar>
              <w:top w:w="70" w:type="dxa"/>
              <w:left w:w="110" w:type="dxa"/>
              <w:bottom w:w="70" w:type="dxa"/>
              <w:right w:w="110" w:type="dxa"/>
            </w:tcMar>
            <w:vAlign w:val="center"/>
          </w:tcPr>
          <w:p w14:paraId="07853DA8" w14:textId="77777777" w:rsidR="00E94315" w:rsidRDefault="00000000">
            <w:pPr>
              <w:jc w:val="center"/>
            </w:pPr>
            <w:r>
              <w:rPr>
                <w:sz w:val="19"/>
                <w:szCs w:val="19"/>
              </w:rPr>
              <w:t>±4.2 pp</w:t>
            </w:r>
          </w:p>
        </w:tc>
      </w:tr>
      <w:tr w:rsidR="00E94315" w14:paraId="122459D8" w14:textId="77777777">
        <w:tc>
          <w:tcPr>
            <w:tcW w:w="2600" w:type="dxa"/>
            <w:shd w:val="clear" w:color="auto" w:fill="FFFFFF"/>
            <w:tcMar>
              <w:top w:w="70" w:type="dxa"/>
              <w:left w:w="110" w:type="dxa"/>
              <w:bottom w:w="70" w:type="dxa"/>
              <w:right w:w="110" w:type="dxa"/>
            </w:tcMar>
            <w:vAlign w:val="center"/>
          </w:tcPr>
          <w:p w14:paraId="60FC240F" w14:textId="77777777" w:rsidR="00E94315" w:rsidRDefault="00000000">
            <w:r>
              <w:rPr>
                <w:sz w:val="19"/>
                <w:szCs w:val="19"/>
              </w:rPr>
              <w:t>Quality</w:t>
            </w:r>
          </w:p>
        </w:tc>
        <w:tc>
          <w:tcPr>
            <w:tcW w:w="1250" w:type="dxa"/>
            <w:shd w:val="clear" w:color="auto" w:fill="FFFFFF"/>
            <w:tcMar>
              <w:top w:w="70" w:type="dxa"/>
              <w:left w:w="110" w:type="dxa"/>
              <w:bottom w:w="70" w:type="dxa"/>
              <w:right w:w="110" w:type="dxa"/>
            </w:tcMar>
            <w:vAlign w:val="center"/>
          </w:tcPr>
          <w:p w14:paraId="4400403F" w14:textId="77777777" w:rsidR="00E94315" w:rsidRDefault="00000000">
            <w:pPr>
              <w:jc w:val="center"/>
            </w:pPr>
            <w:r>
              <w:rPr>
                <w:sz w:val="19"/>
                <w:szCs w:val="19"/>
              </w:rPr>
              <w:t>61</w:t>
            </w:r>
          </w:p>
        </w:tc>
        <w:tc>
          <w:tcPr>
            <w:tcW w:w="1400" w:type="dxa"/>
            <w:shd w:val="clear" w:color="auto" w:fill="FFFFFF"/>
            <w:tcMar>
              <w:top w:w="70" w:type="dxa"/>
              <w:left w:w="110" w:type="dxa"/>
              <w:bottom w:w="70" w:type="dxa"/>
              <w:right w:w="110" w:type="dxa"/>
            </w:tcMar>
            <w:vAlign w:val="center"/>
          </w:tcPr>
          <w:p w14:paraId="58AD80D6" w14:textId="77777777" w:rsidR="00E94315" w:rsidRDefault="00000000">
            <w:pPr>
              <w:jc w:val="center"/>
            </w:pPr>
            <w:r>
              <w:rPr>
                <w:sz w:val="19"/>
                <w:szCs w:val="19"/>
              </w:rPr>
              <w:t>54</w:t>
            </w:r>
          </w:p>
        </w:tc>
        <w:tc>
          <w:tcPr>
            <w:tcW w:w="1750" w:type="dxa"/>
            <w:shd w:val="clear" w:color="auto" w:fill="FFFFFF"/>
            <w:tcMar>
              <w:top w:w="70" w:type="dxa"/>
              <w:left w:w="110" w:type="dxa"/>
              <w:bottom w:w="70" w:type="dxa"/>
              <w:right w:w="110" w:type="dxa"/>
            </w:tcMar>
            <w:vAlign w:val="center"/>
          </w:tcPr>
          <w:p w14:paraId="13346451" w14:textId="77777777" w:rsidR="00E94315" w:rsidRDefault="00000000">
            <w:pPr>
              <w:jc w:val="center"/>
            </w:pPr>
            <w:r>
              <w:rPr>
                <w:sz w:val="19"/>
                <w:szCs w:val="19"/>
              </w:rPr>
              <w:t>52</w:t>
            </w:r>
          </w:p>
        </w:tc>
        <w:tc>
          <w:tcPr>
            <w:tcW w:w="1500" w:type="dxa"/>
            <w:shd w:val="clear" w:color="auto" w:fill="FFFFFF"/>
            <w:tcMar>
              <w:top w:w="70" w:type="dxa"/>
              <w:left w:w="110" w:type="dxa"/>
              <w:bottom w:w="70" w:type="dxa"/>
              <w:right w:w="110" w:type="dxa"/>
            </w:tcMar>
            <w:vAlign w:val="center"/>
          </w:tcPr>
          <w:p w14:paraId="5BF93158" w14:textId="77777777" w:rsidR="00E94315" w:rsidRDefault="00000000">
            <w:pPr>
              <w:jc w:val="center"/>
            </w:pPr>
            <w:r>
              <w:rPr>
                <w:sz w:val="19"/>
                <w:szCs w:val="19"/>
              </w:rPr>
              <w:t>89%</w:t>
            </w:r>
          </w:p>
        </w:tc>
        <w:tc>
          <w:tcPr>
            <w:tcW w:w="1350" w:type="dxa"/>
            <w:shd w:val="clear" w:color="auto" w:fill="FFFFFF"/>
            <w:tcMar>
              <w:top w:w="70" w:type="dxa"/>
              <w:left w:w="110" w:type="dxa"/>
              <w:bottom w:w="70" w:type="dxa"/>
              <w:right w:w="110" w:type="dxa"/>
            </w:tcMar>
            <w:vAlign w:val="center"/>
          </w:tcPr>
          <w:p w14:paraId="01E6E679" w14:textId="77777777" w:rsidR="00E94315" w:rsidRDefault="00000000">
            <w:pPr>
              <w:jc w:val="center"/>
            </w:pPr>
            <w:r>
              <w:rPr>
                <w:sz w:val="19"/>
                <w:szCs w:val="19"/>
              </w:rPr>
              <w:t>±5.2 pp</w:t>
            </w:r>
          </w:p>
        </w:tc>
      </w:tr>
      <w:tr w:rsidR="00E94315" w14:paraId="5AE75CA1" w14:textId="77777777">
        <w:tc>
          <w:tcPr>
            <w:tcW w:w="2600" w:type="dxa"/>
            <w:shd w:val="clear" w:color="auto" w:fill="F3F5F6"/>
            <w:tcMar>
              <w:top w:w="70" w:type="dxa"/>
              <w:left w:w="110" w:type="dxa"/>
              <w:bottom w:w="70" w:type="dxa"/>
              <w:right w:w="110" w:type="dxa"/>
            </w:tcMar>
            <w:vAlign w:val="center"/>
          </w:tcPr>
          <w:p w14:paraId="17977B8E" w14:textId="77777777" w:rsidR="00E94315" w:rsidRDefault="00000000">
            <w:r>
              <w:rPr>
                <w:sz w:val="19"/>
                <w:szCs w:val="19"/>
              </w:rPr>
              <w:t>Finance &amp; Admin</w:t>
            </w:r>
          </w:p>
        </w:tc>
        <w:tc>
          <w:tcPr>
            <w:tcW w:w="1250" w:type="dxa"/>
            <w:shd w:val="clear" w:color="auto" w:fill="F3F5F6"/>
            <w:tcMar>
              <w:top w:w="70" w:type="dxa"/>
              <w:left w:w="110" w:type="dxa"/>
              <w:bottom w:w="70" w:type="dxa"/>
              <w:right w:w="110" w:type="dxa"/>
            </w:tcMar>
            <w:vAlign w:val="center"/>
          </w:tcPr>
          <w:p w14:paraId="296BB707" w14:textId="77777777" w:rsidR="00E94315" w:rsidRDefault="00000000">
            <w:pPr>
              <w:jc w:val="center"/>
            </w:pPr>
            <w:r>
              <w:rPr>
                <w:sz w:val="19"/>
                <w:szCs w:val="19"/>
              </w:rPr>
              <w:t>55</w:t>
            </w:r>
          </w:p>
        </w:tc>
        <w:tc>
          <w:tcPr>
            <w:tcW w:w="1400" w:type="dxa"/>
            <w:shd w:val="clear" w:color="auto" w:fill="F3F5F6"/>
            <w:tcMar>
              <w:top w:w="70" w:type="dxa"/>
              <w:left w:w="110" w:type="dxa"/>
              <w:bottom w:w="70" w:type="dxa"/>
              <w:right w:w="110" w:type="dxa"/>
            </w:tcMar>
            <w:vAlign w:val="center"/>
          </w:tcPr>
          <w:p w14:paraId="2459431D" w14:textId="77777777" w:rsidR="00E94315" w:rsidRDefault="00000000">
            <w:pPr>
              <w:jc w:val="center"/>
            </w:pPr>
            <w:r>
              <w:rPr>
                <w:sz w:val="19"/>
                <w:szCs w:val="19"/>
              </w:rPr>
              <w:t>48</w:t>
            </w:r>
          </w:p>
        </w:tc>
        <w:tc>
          <w:tcPr>
            <w:tcW w:w="1750" w:type="dxa"/>
            <w:shd w:val="clear" w:color="auto" w:fill="F3F5F6"/>
            <w:tcMar>
              <w:top w:w="70" w:type="dxa"/>
              <w:left w:w="110" w:type="dxa"/>
              <w:bottom w:w="70" w:type="dxa"/>
              <w:right w:w="110" w:type="dxa"/>
            </w:tcMar>
            <w:vAlign w:val="center"/>
          </w:tcPr>
          <w:p w14:paraId="0F707286" w14:textId="77777777" w:rsidR="00E94315" w:rsidRDefault="00000000">
            <w:pPr>
              <w:jc w:val="center"/>
            </w:pPr>
            <w:r>
              <w:rPr>
                <w:sz w:val="19"/>
                <w:szCs w:val="19"/>
              </w:rPr>
              <w:t>46</w:t>
            </w:r>
          </w:p>
        </w:tc>
        <w:tc>
          <w:tcPr>
            <w:tcW w:w="1500" w:type="dxa"/>
            <w:shd w:val="clear" w:color="auto" w:fill="F3F5F6"/>
            <w:tcMar>
              <w:top w:w="70" w:type="dxa"/>
              <w:left w:w="110" w:type="dxa"/>
              <w:bottom w:w="70" w:type="dxa"/>
              <w:right w:w="110" w:type="dxa"/>
            </w:tcMar>
            <w:vAlign w:val="center"/>
          </w:tcPr>
          <w:p w14:paraId="67E640FD" w14:textId="77777777" w:rsidR="00E94315" w:rsidRDefault="00000000">
            <w:pPr>
              <w:jc w:val="center"/>
            </w:pPr>
            <w:r>
              <w:rPr>
                <w:sz w:val="19"/>
                <w:szCs w:val="19"/>
              </w:rPr>
              <w:t>87%</w:t>
            </w:r>
          </w:p>
        </w:tc>
        <w:tc>
          <w:tcPr>
            <w:tcW w:w="1350" w:type="dxa"/>
            <w:shd w:val="clear" w:color="auto" w:fill="F3F5F6"/>
            <w:tcMar>
              <w:top w:w="70" w:type="dxa"/>
              <w:left w:w="110" w:type="dxa"/>
              <w:bottom w:w="70" w:type="dxa"/>
              <w:right w:w="110" w:type="dxa"/>
            </w:tcMar>
            <w:vAlign w:val="center"/>
          </w:tcPr>
          <w:p w14:paraId="0758209A" w14:textId="77777777" w:rsidR="00E94315" w:rsidRDefault="00000000">
            <w:pPr>
              <w:jc w:val="center"/>
            </w:pPr>
            <w:r>
              <w:rPr>
                <w:sz w:val="19"/>
                <w:szCs w:val="19"/>
              </w:rPr>
              <w:t>±5.8 pp</w:t>
            </w:r>
          </w:p>
        </w:tc>
      </w:tr>
      <w:tr w:rsidR="00E94315" w14:paraId="07A86F95" w14:textId="77777777">
        <w:tc>
          <w:tcPr>
            <w:tcW w:w="2600" w:type="dxa"/>
            <w:shd w:val="clear" w:color="auto" w:fill="FFFFFF"/>
            <w:tcMar>
              <w:top w:w="70" w:type="dxa"/>
              <w:left w:w="110" w:type="dxa"/>
              <w:bottom w:w="70" w:type="dxa"/>
              <w:right w:w="110" w:type="dxa"/>
            </w:tcMar>
            <w:vAlign w:val="center"/>
          </w:tcPr>
          <w:p w14:paraId="78D97E87" w14:textId="77777777" w:rsidR="00E94315" w:rsidRDefault="00000000">
            <w:r>
              <w:rPr>
                <w:sz w:val="19"/>
                <w:szCs w:val="19"/>
              </w:rPr>
              <w:lastRenderedPageBreak/>
              <w:t>IT</w:t>
            </w:r>
          </w:p>
        </w:tc>
        <w:tc>
          <w:tcPr>
            <w:tcW w:w="1250" w:type="dxa"/>
            <w:shd w:val="clear" w:color="auto" w:fill="FFFFFF"/>
            <w:tcMar>
              <w:top w:w="70" w:type="dxa"/>
              <w:left w:w="110" w:type="dxa"/>
              <w:bottom w:w="70" w:type="dxa"/>
              <w:right w:w="110" w:type="dxa"/>
            </w:tcMar>
            <w:vAlign w:val="center"/>
          </w:tcPr>
          <w:p w14:paraId="4AD7EC6A" w14:textId="77777777" w:rsidR="00E94315" w:rsidRDefault="00000000">
            <w:pPr>
              <w:jc w:val="center"/>
            </w:pPr>
            <w:r>
              <w:rPr>
                <w:sz w:val="19"/>
                <w:szCs w:val="19"/>
              </w:rPr>
              <w:t>31</w:t>
            </w:r>
          </w:p>
        </w:tc>
        <w:tc>
          <w:tcPr>
            <w:tcW w:w="1400" w:type="dxa"/>
            <w:shd w:val="clear" w:color="auto" w:fill="FFFFFF"/>
            <w:tcMar>
              <w:top w:w="70" w:type="dxa"/>
              <w:left w:w="110" w:type="dxa"/>
              <w:bottom w:w="70" w:type="dxa"/>
              <w:right w:w="110" w:type="dxa"/>
            </w:tcMar>
            <w:vAlign w:val="center"/>
          </w:tcPr>
          <w:p w14:paraId="58958396" w14:textId="77777777" w:rsidR="00E94315" w:rsidRDefault="00000000">
            <w:pPr>
              <w:jc w:val="center"/>
            </w:pPr>
            <w:r>
              <w:rPr>
                <w:sz w:val="19"/>
                <w:szCs w:val="19"/>
              </w:rPr>
              <w:t>25</w:t>
            </w:r>
          </w:p>
        </w:tc>
        <w:tc>
          <w:tcPr>
            <w:tcW w:w="1750" w:type="dxa"/>
            <w:shd w:val="clear" w:color="auto" w:fill="FFFFFF"/>
            <w:tcMar>
              <w:top w:w="70" w:type="dxa"/>
              <w:left w:w="110" w:type="dxa"/>
              <w:bottom w:w="70" w:type="dxa"/>
              <w:right w:w="110" w:type="dxa"/>
            </w:tcMar>
            <w:vAlign w:val="center"/>
          </w:tcPr>
          <w:p w14:paraId="7AE5EC9A" w14:textId="77777777" w:rsidR="00E94315" w:rsidRDefault="00000000">
            <w:pPr>
              <w:jc w:val="center"/>
            </w:pPr>
            <w:r>
              <w:rPr>
                <w:sz w:val="19"/>
                <w:szCs w:val="19"/>
              </w:rPr>
              <w:t>24</w:t>
            </w:r>
          </w:p>
        </w:tc>
        <w:tc>
          <w:tcPr>
            <w:tcW w:w="1500" w:type="dxa"/>
            <w:shd w:val="clear" w:color="auto" w:fill="FFFFFF"/>
            <w:tcMar>
              <w:top w:w="70" w:type="dxa"/>
              <w:left w:w="110" w:type="dxa"/>
              <w:bottom w:w="70" w:type="dxa"/>
              <w:right w:w="110" w:type="dxa"/>
            </w:tcMar>
            <w:vAlign w:val="center"/>
          </w:tcPr>
          <w:p w14:paraId="61B2CB5A" w14:textId="77777777" w:rsidR="00E94315" w:rsidRDefault="00000000">
            <w:pPr>
              <w:jc w:val="center"/>
            </w:pPr>
            <w:r>
              <w:rPr>
                <w:sz w:val="19"/>
                <w:szCs w:val="19"/>
              </w:rPr>
              <w:t>81%</w:t>
            </w:r>
          </w:p>
        </w:tc>
        <w:tc>
          <w:tcPr>
            <w:tcW w:w="1350" w:type="dxa"/>
            <w:shd w:val="clear" w:color="auto" w:fill="FFFFFF"/>
            <w:tcMar>
              <w:top w:w="70" w:type="dxa"/>
              <w:left w:w="110" w:type="dxa"/>
              <w:bottom w:w="70" w:type="dxa"/>
              <w:right w:w="110" w:type="dxa"/>
            </w:tcMar>
            <w:vAlign w:val="center"/>
          </w:tcPr>
          <w:p w14:paraId="23301BD5" w14:textId="77777777" w:rsidR="00E94315" w:rsidRDefault="00000000">
            <w:pPr>
              <w:jc w:val="center"/>
            </w:pPr>
            <w:r>
              <w:rPr>
                <w:sz w:val="19"/>
                <w:szCs w:val="19"/>
              </w:rPr>
              <w:t>±9.5 pp</w:t>
            </w:r>
          </w:p>
        </w:tc>
      </w:tr>
      <w:tr w:rsidR="00E94315" w14:paraId="33932E8C" w14:textId="77777777">
        <w:tc>
          <w:tcPr>
            <w:tcW w:w="2600" w:type="dxa"/>
            <w:shd w:val="clear" w:color="auto" w:fill="F3F5F6"/>
            <w:tcMar>
              <w:top w:w="70" w:type="dxa"/>
              <w:left w:w="110" w:type="dxa"/>
              <w:bottom w:w="70" w:type="dxa"/>
              <w:right w:w="110" w:type="dxa"/>
            </w:tcMar>
            <w:vAlign w:val="center"/>
          </w:tcPr>
          <w:p w14:paraId="63CD5941" w14:textId="77777777" w:rsidR="00E94315" w:rsidRDefault="00000000">
            <w:r>
              <w:rPr>
                <w:sz w:val="19"/>
                <w:szCs w:val="19"/>
              </w:rPr>
              <w:t>HR</w:t>
            </w:r>
          </w:p>
        </w:tc>
        <w:tc>
          <w:tcPr>
            <w:tcW w:w="1250" w:type="dxa"/>
            <w:shd w:val="clear" w:color="auto" w:fill="F3F5F6"/>
            <w:tcMar>
              <w:top w:w="70" w:type="dxa"/>
              <w:left w:w="110" w:type="dxa"/>
              <w:bottom w:w="70" w:type="dxa"/>
              <w:right w:w="110" w:type="dxa"/>
            </w:tcMar>
            <w:vAlign w:val="center"/>
          </w:tcPr>
          <w:p w14:paraId="57E6004F" w14:textId="77777777" w:rsidR="00E94315" w:rsidRDefault="00000000">
            <w:pPr>
              <w:jc w:val="center"/>
            </w:pPr>
            <w:r>
              <w:rPr>
                <w:sz w:val="19"/>
                <w:szCs w:val="19"/>
              </w:rPr>
              <w:t>14</w:t>
            </w:r>
          </w:p>
        </w:tc>
        <w:tc>
          <w:tcPr>
            <w:tcW w:w="1400" w:type="dxa"/>
            <w:shd w:val="clear" w:color="auto" w:fill="F3F5F6"/>
            <w:tcMar>
              <w:top w:w="70" w:type="dxa"/>
              <w:left w:w="110" w:type="dxa"/>
              <w:bottom w:w="70" w:type="dxa"/>
              <w:right w:w="110" w:type="dxa"/>
            </w:tcMar>
            <w:vAlign w:val="center"/>
          </w:tcPr>
          <w:p w14:paraId="2DA6AD8B" w14:textId="77777777" w:rsidR="00E94315" w:rsidRDefault="00000000">
            <w:pPr>
              <w:jc w:val="center"/>
            </w:pPr>
            <w:r>
              <w:rPr>
                <w:sz w:val="19"/>
                <w:szCs w:val="19"/>
              </w:rPr>
              <w:t>11</w:t>
            </w:r>
          </w:p>
        </w:tc>
        <w:tc>
          <w:tcPr>
            <w:tcW w:w="1750" w:type="dxa"/>
            <w:shd w:val="clear" w:color="auto" w:fill="F3F5F6"/>
            <w:tcMar>
              <w:top w:w="70" w:type="dxa"/>
              <w:left w:w="110" w:type="dxa"/>
              <w:bottom w:w="70" w:type="dxa"/>
              <w:right w:w="110" w:type="dxa"/>
            </w:tcMar>
            <w:vAlign w:val="center"/>
          </w:tcPr>
          <w:p w14:paraId="6E5C74FA" w14:textId="77777777" w:rsidR="00E94315" w:rsidRDefault="00000000">
            <w:pPr>
              <w:jc w:val="center"/>
            </w:pPr>
            <w:r>
              <w:rPr>
                <w:sz w:val="19"/>
                <w:szCs w:val="19"/>
              </w:rPr>
              <w:t>10</w:t>
            </w:r>
          </w:p>
        </w:tc>
        <w:tc>
          <w:tcPr>
            <w:tcW w:w="1500" w:type="dxa"/>
            <w:shd w:val="clear" w:color="auto" w:fill="F3F5F6"/>
            <w:tcMar>
              <w:top w:w="70" w:type="dxa"/>
              <w:left w:w="110" w:type="dxa"/>
              <w:bottom w:w="70" w:type="dxa"/>
              <w:right w:w="110" w:type="dxa"/>
            </w:tcMar>
            <w:vAlign w:val="center"/>
          </w:tcPr>
          <w:p w14:paraId="6C007F99" w14:textId="77777777" w:rsidR="00E94315" w:rsidRDefault="00000000">
            <w:pPr>
              <w:jc w:val="center"/>
            </w:pPr>
            <w:r>
              <w:rPr>
                <w:sz w:val="19"/>
                <w:szCs w:val="19"/>
              </w:rPr>
              <w:t>79%</w:t>
            </w:r>
          </w:p>
        </w:tc>
        <w:tc>
          <w:tcPr>
            <w:tcW w:w="1350" w:type="dxa"/>
            <w:shd w:val="clear" w:color="auto" w:fill="F3F5F6"/>
            <w:tcMar>
              <w:top w:w="70" w:type="dxa"/>
              <w:left w:w="110" w:type="dxa"/>
              <w:bottom w:w="70" w:type="dxa"/>
              <w:right w:w="110" w:type="dxa"/>
            </w:tcMar>
            <w:vAlign w:val="center"/>
          </w:tcPr>
          <w:p w14:paraId="6A2BF642" w14:textId="77777777" w:rsidR="00E94315" w:rsidRDefault="00000000">
            <w:pPr>
              <w:jc w:val="center"/>
            </w:pPr>
            <w:r>
              <w:rPr>
                <w:sz w:val="19"/>
                <w:szCs w:val="19"/>
              </w:rPr>
              <w:t>±16.6 pp</w:t>
            </w:r>
          </w:p>
        </w:tc>
      </w:tr>
      <w:tr w:rsidR="00E94315" w14:paraId="2965D354" w14:textId="77777777">
        <w:tc>
          <w:tcPr>
            <w:tcW w:w="2600" w:type="dxa"/>
            <w:shd w:val="clear" w:color="auto" w:fill="FFFFFF"/>
            <w:tcMar>
              <w:top w:w="70" w:type="dxa"/>
              <w:left w:w="110" w:type="dxa"/>
              <w:bottom w:w="70" w:type="dxa"/>
              <w:right w:w="110" w:type="dxa"/>
            </w:tcMar>
            <w:vAlign w:val="center"/>
          </w:tcPr>
          <w:p w14:paraId="306D9244" w14:textId="77777777" w:rsidR="00E94315" w:rsidRDefault="00000000">
            <w:r>
              <w:rPr>
                <w:b/>
                <w:bCs/>
                <w:sz w:val="19"/>
                <w:szCs w:val="19"/>
              </w:rPr>
              <w:t>Total</w:t>
            </w:r>
          </w:p>
        </w:tc>
        <w:tc>
          <w:tcPr>
            <w:tcW w:w="1250" w:type="dxa"/>
            <w:shd w:val="clear" w:color="auto" w:fill="FFFFFF"/>
            <w:tcMar>
              <w:top w:w="70" w:type="dxa"/>
              <w:left w:w="110" w:type="dxa"/>
              <w:bottom w:w="70" w:type="dxa"/>
              <w:right w:w="110" w:type="dxa"/>
            </w:tcMar>
            <w:vAlign w:val="center"/>
          </w:tcPr>
          <w:p w14:paraId="769119A2" w14:textId="77777777" w:rsidR="00E94315" w:rsidRDefault="00000000">
            <w:pPr>
              <w:jc w:val="center"/>
            </w:pPr>
            <w:r>
              <w:rPr>
                <w:b/>
                <w:bCs/>
                <w:sz w:val="19"/>
                <w:szCs w:val="19"/>
              </w:rPr>
              <w:t>1,216</w:t>
            </w:r>
          </w:p>
        </w:tc>
        <w:tc>
          <w:tcPr>
            <w:tcW w:w="1400" w:type="dxa"/>
            <w:shd w:val="clear" w:color="auto" w:fill="FFFFFF"/>
            <w:tcMar>
              <w:top w:w="70" w:type="dxa"/>
              <w:left w:w="110" w:type="dxa"/>
              <w:bottom w:w="70" w:type="dxa"/>
              <w:right w:w="110" w:type="dxa"/>
            </w:tcMar>
            <w:vAlign w:val="center"/>
          </w:tcPr>
          <w:p w14:paraId="37916160" w14:textId="77777777" w:rsidR="00E94315" w:rsidRDefault="00000000">
            <w:pPr>
              <w:jc w:val="center"/>
            </w:pPr>
            <w:r>
              <w:rPr>
                <w:b/>
                <w:bCs/>
                <w:sz w:val="19"/>
                <w:szCs w:val="19"/>
              </w:rPr>
              <w:t>1,022</w:t>
            </w:r>
          </w:p>
        </w:tc>
        <w:tc>
          <w:tcPr>
            <w:tcW w:w="1750" w:type="dxa"/>
            <w:shd w:val="clear" w:color="auto" w:fill="FFFFFF"/>
            <w:tcMar>
              <w:top w:w="70" w:type="dxa"/>
              <w:left w:w="110" w:type="dxa"/>
              <w:bottom w:w="70" w:type="dxa"/>
              <w:right w:w="110" w:type="dxa"/>
            </w:tcMar>
            <w:vAlign w:val="center"/>
          </w:tcPr>
          <w:p w14:paraId="5F516D93" w14:textId="77777777" w:rsidR="00E94315" w:rsidRDefault="00000000">
            <w:pPr>
              <w:jc w:val="center"/>
            </w:pPr>
            <w:r>
              <w:rPr>
                <w:b/>
                <w:bCs/>
                <w:sz w:val="19"/>
                <w:szCs w:val="19"/>
              </w:rPr>
              <w:t>987</w:t>
            </w:r>
          </w:p>
        </w:tc>
        <w:tc>
          <w:tcPr>
            <w:tcW w:w="1500" w:type="dxa"/>
            <w:shd w:val="clear" w:color="auto" w:fill="FFFFFF"/>
            <w:tcMar>
              <w:top w:w="70" w:type="dxa"/>
              <w:left w:w="110" w:type="dxa"/>
              <w:bottom w:w="70" w:type="dxa"/>
              <w:right w:w="110" w:type="dxa"/>
            </w:tcMar>
            <w:vAlign w:val="center"/>
          </w:tcPr>
          <w:p w14:paraId="51E5881A" w14:textId="77777777" w:rsidR="00E94315" w:rsidRDefault="00000000">
            <w:pPr>
              <w:jc w:val="center"/>
            </w:pPr>
            <w:r>
              <w:rPr>
                <w:b/>
                <w:bCs/>
                <w:sz w:val="19"/>
                <w:szCs w:val="19"/>
              </w:rPr>
              <w:t>84%</w:t>
            </w:r>
          </w:p>
        </w:tc>
        <w:tc>
          <w:tcPr>
            <w:tcW w:w="1350" w:type="dxa"/>
            <w:shd w:val="clear" w:color="auto" w:fill="FFFFFF"/>
            <w:tcMar>
              <w:top w:w="70" w:type="dxa"/>
              <w:left w:w="110" w:type="dxa"/>
              <w:bottom w:w="70" w:type="dxa"/>
              <w:right w:w="110" w:type="dxa"/>
            </w:tcMar>
            <w:vAlign w:val="center"/>
          </w:tcPr>
          <w:p w14:paraId="6DA33644" w14:textId="77777777" w:rsidR="00E94315" w:rsidRDefault="00000000">
            <w:pPr>
              <w:jc w:val="center"/>
            </w:pPr>
            <w:r>
              <w:rPr>
                <w:b/>
                <w:bCs/>
                <w:sz w:val="19"/>
                <w:szCs w:val="19"/>
              </w:rPr>
              <w:t>±1.3 pp</w:t>
            </w:r>
          </w:p>
        </w:tc>
      </w:tr>
    </w:tbl>
    <w:p w14:paraId="42690453" w14:textId="0F2E8C04" w:rsidR="00E94315" w:rsidRPr="00F06321" w:rsidRDefault="00000000">
      <w:pPr>
        <w:spacing w:after="200"/>
        <w:jc w:val="center"/>
      </w:pPr>
      <w:r>
        <w:rPr>
          <w:color w:val="5A6B7E"/>
          <w:sz w:val="17"/>
          <w:szCs w:val="17"/>
        </w:rPr>
        <w:t xml:space="preserve">Exhibit 1. Achieved sample by unit  </w:t>
      </w:r>
    </w:p>
    <w:p w14:paraId="51D7B094" w14:textId="77777777" w:rsidR="00E94315" w:rsidRDefault="00000000">
      <w:pPr>
        <w:spacing w:after="140"/>
      </w:pPr>
      <w:r>
        <w:rPr>
          <w:b/>
          <w:bCs/>
        </w:rPr>
        <w:t xml:space="preserve">Weighting. </w:t>
      </w:r>
      <w:r>
        <w:t>Results are weighted to payroll records by department × tenure band × role level to correct nonresponse skew (production shift workers responded at a lower rate than office staff). Weights range 0.71–1.58; the scheme is documented in Appendix C. All figures in this report are weighted unless labeled otherwise.</w:t>
      </w:r>
    </w:p>
    <w:p w14:paraId="5A9E0218" w14:textId="77777777" w:rsidR="00E94315" w:rsidRDefault="00000000">
      <w:pPr>
        <w:pStyle w:val="Heading2"/>
        <w:spacing w:before="240" w:after="120"/>
      </w:pPr>
      <w:r>
        <w:rPr>
          <w:rFonts w:ascii="Poppins SemiBold" w:eastAsia="Poppins SemiBold" w:hAnsi="Poppins SemiBold" w:cs="Poppins SemiBold"/>
          <w:color w:val="0B1F3A"/>
          <w:sz w:val="24"/>
          <w:szCs w:val="24"/>
        </w:rPr>
        <w:t>Data-quality screening (applied before any analysis)</w:t>
      </w:r>
    </w:p>
    <w:p w14:paraId="7AC334DF" w14:textId="77777777" w:rsidR="00E94315" w:rsidRDefault="00000000">
      <w:pPr>
        <w:spacing w:after="140"/>
      </w:pPr>
      <w:r>
        <w:t>Screening rules were pre-registered in the technical appendix and applied uniformly. This disclosure is standard in every Measure &amp; Meaning report:</w:t>
      </w:r>
    </w:p>
    <w:tbl>
      <w:tblPr>
        <w:tblStyle w:val="a4"/>
        <w:tblW w:w="945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2300"/>
        <w:gridCol w:w="4750"/>
        <w:gridCol w:w="1100"/>
        <w:gridCol w:w="1300"/>
      </w:tblGrid>
      <w:tr w:rsidR="00E94315" w14:paraId="589A8C35" w14:textId="77777777">
        <w:trPr>
          <w:tblHeader/>
        </w:trPr>
        <w:tc>
          <w:tcPr>
            <w:tcW w:w="2300" w:type="dxa"/>
            <w:shd w:val="clear" w:color="auto" w:fill="0B1F3A"/>
            <w:tcMar>
              <w:top w:w="70" w:type="dxa"/>
              <w:left w:w="110" w:type="dxa"/>
              <w:bottom w:w="70" w:type="dxa"/>
              <w:right w:w="110" w:type="dxa"/>
            </w:tcMar>
            <w:vAlign w:val="center"/>
          </w:tcPr>
          <w:p w14:paraId="2DD04D44" w14:textId="77777777" w:rsidR="00E94315" w:rsidRDefault="00000000">
            <w:r>
              <w:rPr>
                <w:b/>
                <w:bCs/>
                <w:color w:val="FFFFFF"/>
                <w:sz w:val="18"/>
                <w:szCs w:val="18"/>
              </w:rPr>
              <w:t>Screen</w:t>
            </w:r>
          </w:p>
        </w:tc>
        <w:tc>
          <w:tcPr>
            <w:tcW w:w="4750" w:type="dxa"/>
            <w:shd w:val="clear" w:color="auto" w:fill="0B1F3A"/>
            <w:tcMar>
              <w:top w:w="70" w:type="dxa"/>
              <w:left w:w="110" w:type="dxa"/>
              <w:bottom w:w="70" w:type="dxa"/>
              <w:right w:w="110" w:type="dxa"/>
            </w:tcMar>
            <w:vAlign w:val="center"/>
          </w:tcPr>
          <w:p w14:paraId="2B310617" w14:textId="77777777" w:rsidR="00E94315" w:rsidRDefault="00000000">
            <w:pPr>
              <w:jc w:val="center"/>
            </w:pPr>
            <w:r>
              <w:rPr>
                <w:b/>
                <w:bCs/>
                <w:color w:val="FFFFFF"/>
                <w:sz w:val="18"/>
                <w:szCs w:val="18"/>
              </w:rPr>
              <w:t>Rule</w:t>
            </w:r>
          </w:p>
        </w:tc>
        <w:tc>
          <w:tcPr>
            <w:tcW w:w="1100" w:type="dxa"/>
            <w:shd w:val="clear" w:color="auto" w:fill="0B1F3A"/>
            <w:tcMar>
              <w:top w:w="70" w:type="dxa"/>
              <w:left w:w="110" w:type="dxa"/>
              <w:bottom w:w="70" w:type="dxa"/>
              <w:right w:w="110" w:type="dxa"/>
            </w:tcMar>
            <w:vAlign w:val="center"/>
          </w:tcPr>
          <w:p w14:paraId="12C378C6" w14:textId="77777777" w:rsidR="00E94315" w:rsidRDefault="00000000">
            <w:pPr>
              <w:jc w:val="center"/>
            </w:pPr>
            <w:r>
              <w:rPr>
                <w:b/>
                <w:bCs/>
                <w:color w:val="FFFFFF"/>
                <w:sz w:val="18"/>
                <w:szCs w:val="18"/>
              </w:rPr>
              <w:t>Flagged</w:t>
            </w:r>
          </w:p>
        </w:tc>
        <w:tc>
          <w:tcPr>
            <w:tcW w:w="1300" w:type="dxa"/>
            <w:shd w:val="clear" w:color="auto" w:fill="0B1F3A"/>
            <w:tcMar>
              <w:top w:w="70" w:type="dxa"/>
              <w:left w:w="110" w:type="dxa"/>
              <w:bottom w:w="70" w:type="dxa"/>
              <w:right w:w="110" w:type="dxa"/>
            </w:tcMar>
            <w:vAlign w:val="center"/>
          </w:tcPr>
          <w:p w14:paraId="6FFD044A" w14:textId="77777777" w:rsidR="00E94315" w:rsidRDefault="00000000">
            <w:pPr>
              <w:jc w:val="center"/>
            </w:pPr>
            <w:r>
              <w:rPr>
                <w:b/>
                <w:bCs/>
                <w:color w:val="FFFFFF"/>
                <w:sz w:val="18"/>
                <w:szCs w:val="18"/>
              </w:rPr>
              <w:t>Excluded</w:t>
            </w:r>
          </w:p>
        </w:tc>
      </w:tr>
      <w:tr w:rsidR="00E94315" w14:paraId="3F84CBF8" w14:textId="77777777">
        <w:tc>
          <w:tcPr>
            <w:tcW w:w="2300" w:type="dxa"/>
            <w:shd w:val="clear" w:color="auto" w:fill="FFFFFF"/>
            <w:tcMar>
              <w:top w:w="70" w:type="dxa"/>
              <w:left w:w="110" w:type="dxa"/>
              <w:bottom w:w="70" w:type="dxa"/>
              <w:right w:w="110" w:type="dxa"/>
            </w:tcMar>
            <w:vAlign w:val="center"/>
          </w:tcPr>
          <w:p w14:paraId="3C01BABA" w14:textId="77777777" w:rsidR="00E94315" w:rsidRDefault="00000000">
            <w:r>
              <w:rPr>
                <w:sz w:val="19"/>
                <w:szCs w:val="19"/>
              </w:rPr>
              <w:t>Speeding</w:t>
            </w:r>
          </w:p>
        </w:tc>
        <w:tc>
          <w:tcPr>
            <w:tcW w:w="4750" w:type="dxa"/>
            <w:shd w:val="clear" w:color="auto" w:fill="FFFFFF"/>
            <w:tcMar>
              <w:top w:w="70" w:type="dxa"/>
              <w:left w:w="110" w:type="dxa"/>
              <w:bottom w:w="70" w:type="dxa"/>
              <w:right w:w="110" w:type="dxa"/>
            </w:tcMar>
            <w:vAlign w:val="center"/>
          </w:tcPr>
          <w:p w14:paraId="29653382" w14:textId="77777777" w:rsidR="00E94315" w:rsidRDefault="00000000">
            <w:pPr>
              <w:jc w:val="center"/>
            </w:pPr>
            <w:r>
              <w:rPr>
                <w:sz w:val="19"/>
                <w:szCs w:val="19"/>
              </w:rPr>
              <w:t>&lt; ⅓ of median completion time flag; sustained &lt; 2 s/item exclude</w:t>
            </w:r>
          </w:p>
        </w:tc>
        <w:tc>
          <w:tcPr>
            <w:tcW w:w="1100" w:type="dxa"/>
            <w:shd w:val="clear" w:color="auto" w:fill="FFFFFF"/>
            <w:tcMar>
              <w:top w:w="70" w:type="dxa"/>
              <w:left w:w="110" w:type="dxa"/>
              <w:bottom w:w="70" w:type="dxa"/>
              <w:right w:w="110" w:type="dxa"/>
            </w:tcMar>
            <w:vAlign w:val="center"/>
          </w:tcPr>
          <w:p w14:paraId="2A75D613" w14:textId="77777777" w:rsidR="00E94315" w:rsidRDefault="00000000">
            <w:pPr>
              <w:jc w:val="center"/>
            </w:pPr>
            <w:r>
              <w:rPr>
                <w:sz w:val="19"/>
                <w:szCs w:val="19"/>
              </w:rPr>
              <w:t>41</w:t>
            </w:r>
          </w:p>
        </w:tc>
        <w:tc>
          <w:tcPr>
            <w:tcW w:w="1300" w:type="dxa"/>
            <w:shd w:val="clear" w:color="auto" w:fill="FFFFFF"/>
            <w:tcMar>
              <w:top w:w="70" w:type="dxa"/>
              <w:left w:w="110" w:type="dxa"/>
              <w:bottom w:w="70" w:type="dxa"/>
              <w:right w:w="110" w:type="dxa"/>
            </w:tcMar>
            <w:vAlign w:val="center"/>
          </w:tcPr>
          <w:p w14:paraId="05A25433" w14:textId="77777777" w:rsidR="00E94315" w:rsidRDefault="00000000">
            <w:pPr>
              <w:jc w:val="center"/>
            </w:pPr>
            <w:r>
              <w:rPr>
                <w:sz w:val="19"/>
                <w:szCs w:val="19"/>
              </w:rPr>
              <w:t>17</w:t>
            </w:r>
          </w:p>
        </w:tc>
      </w:tr>
      <w:tr w:rsidR="00E94315" w14:paraId="011E7008" w14:textId="77777777">
        <w:tc>
          <w:tcPr>
            <w:tcW w:w="2300" w:type="dxa"/>
            <w:shd w:val="clear" w:color="auto" w:fill="F3F5F6"/>
            <w:tcMar>
              <w:top w:w="70" w:type="dxa"/>
              <w:left w:w="110" w:type="dxa"/>
              <w:bottom w:w="70" w:type="dxa"/>
              <w:right w:w="110" w:type="dxa"/>
            </w:tcMar>
            <w:vAlign w:val="center"/>
          </w:tcPr>
          <w:p w14:paraId="6491BFB5" w14:textId="77777777" w:rsidR="00E94315" w:rsidRDefault="00000000">
            <w:r>
              <w:rPr>
                <w:sz w:val="19"/>
                <w:szCs w:val="19"/>
              </w:rPr>
              <w:t>Straightlining</w:t>
            </w:r>
          </w:p>
        </w:tc>
        <w:tc>
          <w:tcPr>
            <w:tcW w:w="4750" w:type="dxa"/>
            <w:shd w:val="clear" w:color="auto" w:fill="F3F5F6"/>
            <w:tcMar>
              <w:top w:w="70" w:type="dxa"/>
              <w:left w:w="110" w:type="dxa"/>
              <w:bottom w:w="70" w:type="dxa"/>
              <w:right w:w="110" w:type="dxa"/>
            </w:tcMar>
            <w:vAlign w:val="center"/>
          </w:tcPr>
          <w:p w14:paraId="4674820F" w14:textId="77777777" w:rsidR="00E94315" w:rsidRDefault="00000000">
            <w:pPr>
              <w:jc w:val="center"/>
            </w:pPr>
            <w:r>
              <w:rPr>
                <w:sz w:val="19"/>
                <w:szCs w:val="19"/>
              </w:rPr>
              <w:t xml:space="preserve">Zero variance across ≥ 20 consecutive matrix items flag; + speeding exclude</w:t>
            </w:r>
          </w:p>
        </w:tc>
        <w:tc>
          <w:tcPr>
            <w:tcW w:w="1100" w:type="dxa"/>
            <w:shd w:val="clear" w:color="auto" w:fill="F3F5F6"/>
            <w:tcMar>
              <w:top w:w="70" w:type="dxa"/>
              <w:left w:w="110" w:type="dxa"/>
              <w:bottom w:w="70" w:type="dxa"/>
              <w:right w:w="110" w:type="dxa"/>
            </w:tcMar>
            <w:vAlign w:val="center"/>
          </w:tcPr>
          <w:p w14:paraId="7EAE4439" w14:textId="77777777" w:rsidR="00E94315" w:rsidRDefault="00000000">
            <w:pPr>
              <w:jc w:val="center"/>
            </w:pPr>
            <w:r>
              <w:rPr>
                <w:sz w:val="19"/>
                <w:szCs w:val="19"/>
              </w:rPr>
              <w:t>29</w:t>
            </w:r>
          </w:p>
        </w:tc>
        <w:tc>
          <w:tcPr>
            <w:tcW w:w="1300" w:type="dxa"/>
            <w:shd w:val="clear" w:color="auto" w:fill="F3F5F6"/>
            <w:tcMar>
              <w:top w:w="70" w:type="dxa"/>
              <w:left w:w="110" w:type="dxa"/>
              <w:bottom w:w="70" w:type="dxa"/>
              <w:right w:w="110" w:type="dxa"/>
            </w:tcMar>
            <w:vAlign w:val="center"/>
          </w:tcPr>
          <w:p w14:paraId="7E7C498C" w14:textId="77777777" w:rsidR="00E94315" w:rsidRDefault="00000000">
            <w:pPr>
              <w:jc w:val="center"/>
            </w:pPr>
            <w:r>
              <w:rPr>
                <w:sz w:val="19"/>
                <w:szCs w:val="19"/>
              </w:rPr>
              <w:t>11</w:t>
            </w:r>
          </w:p>
        </w:tc>
      </w:tr>
      <w:tr w:rsidR="00E94315" w14:paraId="07E31B5D" w14:textId="77777777">
        <w:tc>
          <w:tcPr>
            <w:tcW w:w="2300" w:type="dxa"/>
            <w:shd w:val="clear" w:color="auto" w:fill="FFFFFF"/>
            <w:tcMar>
              <w:top w:w="70" w:type="dxa"/>
              <w:left w:w="110" w:type="dxa"/>
              <w:bottom w:w="70" w:type="dxa"/>
              <w:right w:w="110" w:type="dxa"/>
            </w:tcMar>
            <w:vAlign w:val="center"/>
          </w:tcPr>
          <w:p w14:paraId="07BC933D" w14:textId="77777777" w:rsidR="00E94315" w:rsidRDefault="00000000">
            <w:r>
              <w:rPr>
                <w:sz w:val="19"/>
                <w:szCs w:val="19"/>
              </w:rPr>
              <w:t>Attention checks</w:t>
            </w:r>
          </w:p>
        </w:tc>
        <w:tc>
          <w:tcPr>
            <w:tcW w:w="4750" w:type="dxa"/>
            <w:shd w:val="clear" w:color="auto" w:fill="FFFFFF"/>
            <w:tcMar>
              <w:top w:w="70" w:type="dxa"/>
              <w:left w:w="110" w:type="dxa"/>
              <w:bottom w:w="70" w:type="dxa"/>
              <w:right w:w="110" w:type="dxa"/>
            </w:tcMar>
            <w:vAlign w:val="center"/>
          </w:tcPr>
          <w:p w14:paraId="686944B4" w14:textId="77777777" w:rsidR="00E94315" w:rsidRDefault="00000000">
            <w:pPr>
              <w:jc w:val="center"/>
            </w:pPr>
            <w:r>
              <w:rPr>
                <w:sz w:val="19"/>
                <w:szCs w:val="19"/>
              </w:rPr>
              <w:t>2 embedded items; one failure flag, two exclude</w:t>
            </w:r>
          </w:p>
        </w:tc>
        <w:tc>
          <w:tcPr>
            <w:tcW w:w="1100" w:type="dxa"/>
            <w:shd w:val="clear" w:color="auto" w:fill="FFFFFF"/>
            <w:tcMar>
              <w:top w:w="70" w:type="dxa"/>
              <w:left w:w="110" w:type="dxa"/>
              <w:bottom w:w="70" w:type="dxa"/>
              <w:right w:w="110" w:type="dxa"/>
            </w:tcMar>
            <w:vAlign w:val="center"/>
          </w:tcPr>
          <w:p w14:paraId="297DA5EA" w14:textId="77777777" w:rsidR="00E94315" w:rsidRDefault="00000000">
            <w:pPr>
              <w:jc w:val="center"/>
            </w:pPr>
            <w:r>
              <w:rPr>
                <w:sz w:val="19"/>
                <w:szCs w:val="19"/>
              </w:rPr>
              <w:t>23</w:t>
            </w:r>
          </w:p>
        </w:tc>
        <w:tc>
          <w:tcPr>
            <w:tcW w:w="1300" w:type="dxa"/>
            <w:shd w:val="clear" w:color="auto" w:fill="FFFFFF"/>
            <w:tcMar>
              <w:top w:w="70" w:type="dxa"/>
              <w:left w:w="110" w:type="dxa"/>
              <w:bottom w:w="70" w:type="dxa"/>
              <w:right w:w="110" w:type="dxa"/>
            </w:tcMar>
            <w:vAlign w:val="center"/>
          </w:tcPr>
          <w:p w14:paraId="5452CF2F" w14:textId="77777777" w:rsidR="00E94315" w:rsidRDefault="00000000">
            <w:pPr>
              <w:jc w:val="center"/>
            </w:pPr>
            <w:r>
              <w:rPr>
                <w:sz w:val="19"/>
                <w:szCs w:val="19"/>
              </w:rPr>
              <w:t>7</w:t>
            </w:r>
          </w:p>
        </w:tc>
      </w:tr>
      <w:tr w:rsidR="00E94315" w14:paraId="1D94F656" w14:textId="77777777">
        <w:tc>
          <w:tcPr>
            <w:tcW w:w="2300" w:type="dxa"/>
            <w:shd w:val="clear" w:color="auto" w:fill="F3F5F6"/>
            <w:tcMar>
              <w:top w:w="70" w:type="dxa"/>
              <w:left w:w="110" w:type="dxa"/>
              <w:bottom w:w="70" w:type="dxa"/>
              <w:right w:w="110" w:type="dxa"/>
            </w:tcMar>
            <w:vAlign w:val="center"/>
          </w:tcPr>
          <w:p w14:paraId="2E9D77BB" w14:textId="77777777" w:rsidR="00E94315" w:rsidRDefault="00000000">
            <w:r>
              <w:rPr>
                <w:sz w:val="19"/>
                <w:szCs w:val="19"/>
              </w:rPr>
              <w:t>Kiosk proxy review</w:t>
            </w:r>
          </w:p>
        </w:tc>
        <w:tc>
          <w:tcPr>
            <w:tcW w:w="4750" w:type="dxa"/>
            <w:shd w:val="clear" w:color="auto" w:fill="F3F5F6"/>
            <w:tcMar>
              <w:top w:w="70" w:type="dxa"/>
              <w:left w:w="110" w:type="dxa"/>
              <w:bottom w:w="70" w:type="dxa"/>
              <w:right w:w="110" w:type="dxa"/>
            </w:tcMar>
            <w:vAlign w:val="center"/>
          </w:tcPr>
          <w:p w14:paraId="6A071C92" w14:textId="77777777" w:rsidR="00E94315" w:rsidRDefault="00000000">
            <w:pPr>
              <w:jc w:val="center"/>
            </w:pPr>
            <w:r>
              <w:rPr>
                <w:sz w:val="19"/>
                <w:szCs w:val="19"/>
              </w:rPr>
              <w:t>Response-time clustering on shared devices reviewed manually</w:t>
            </w:r>
          </w:p>
        </w:tc>
        <w:tc>
          <w:tcPr>
            <w:tcW w:w="1100" w:type="dxa"/>
            <w:shd w:val="clear" w:color="auto" w:fill="F3F5F6"/>
            <w:tcMar>
              <w:top w:w="70" w:type="dxa"/>
              <w:left w:w="110" w:type="dxa"/>
              <w:bottom w:w="70" w:type="dxa"/>
              <w:right w:w="110" w:type="dxa"/>
            </w:tcMar>
            <w:vAlign w:val="center"/>
          </w:tcPr>
          <w:p w14:paraId="2DDFEC80" w14:textId="77777777" w:rsidR="00E94315" w:rsidRDefault="00000000">
            <w:pPr>
              <w:jc w:val="center"/>
            </w:pPr>
            <w:r>
              <w:rPr>
                <w:sz w:val="19"/>
                <w:szCs w:val="19"/>
              </w:rPr>
              <w:t>6</w:t>
            </w:r>
          </w:p>
        </w:tc>
        <w:tc>
          <w:tcPr>
            <w:tcW w:w="1300" w:type="dxa"/>
            <w:shd w:val="clear" w:color="auto" w:fill="F3F5F6"/>
            <w:tcMar>
              <w:top w:w="70" w:type="dxa"/>
              <w:left w:w="110" w:type="dxa"/>
              <w:bottom w:w="70" w:type="dxa"/>
              <w:right w:w="110" w:type="dxa"/>
            </w:tcMar>
            <w:vAlign w:val="center"/>
          </w:tcPr>
          <w:p w14:paraId="0280ADB7" w14:textId="77777777" w:rsidR="00E94315" w:rsidRDefault="00000000">
            <w:pPr>
              <w:jc w:val="center"/>
            </w:pPr>
            <w:r>
              <w:rPr>
                <w:sz w:val="19"/>
                <w:szCs w:val="19"/>
              </w:rPr>
              <w:t>0</w:t>
            </w:r>
          </w:p>
        </w:tc>
      </w:tr>
      <w:tr w:rsidR="00E94315" w14:paraId="0F72AE1C" w14:textId="77777777">
        <w:tc>
          <w:tcPr>
            <w:tcW w:w="2300" w:type="dxa"/>
            <w:shd w:val="clear" w:color="auto" w:fill="FFFFFF"/>
            <w:tcMar>
              <w:top w:w="70" w:type="dxa"/>
              <w:left w:w="110" w:type="dxa"/>
              <w:bottom w:w="70" w:type="dxa"/>
              <w:right w:w="110" w:type="dxa"/>
            </w:tcMar>
            <w:vAlign w:val="center"/>
          </w:tcPr>
          <w:p w14:paraId="76BB0534" w14:textId="77777777" w:rsidR="00E94315" w:rsidRDefault="00000000">
            <w:r>
              <w:rPr>
                <w:b/>
                <w:bCs/>
                <w:sz w:val="19"/>
                <w:szCs w:val="19"/>
              </w:rPr>
              <w:t>Total excluded (unique respondents)</w:t>
            </w:r>
          </w:p>
        </w:tc>
        <w:tc>
          <w:tcPr>
            <w:tcW w:w="4750" w:type="dxa"/>
            <w:shd w:val="clear" w:color="auto" w:fill="FFFFFF"/>
            <w:tcMar>
              <w:top w:w="70" w:type="dxa"/>
              <w:left w:w="110" w:type="dxa"/>
              <w:bottom w:w="70" w:type="dxa"/>
              <w:right w:w="110" w:type="dxa"/>
            </w:tcMar>
            <w:vAlign w:val="center"/>
          </w:tcPr>
          <w:p w14:paraId="7FC38310" w14:textId="77777777" w:rsidR="00E94315" w:rsidRDefault="00E94315">
            <w:pPr>
              <w:jc w:val="center"/>
            </w:pPr>
          </w:p>
        </w:tc>
        <w:tc>
          <w:tcPr>
            <w:tcW w:w="1100" w:type="dxa"/>
            <w:shd w:val="clear" w:color="auto" w:fill="FFFFFF"/>
            <w:tcMar>
              <w:top w:w="70" w:type="dxa"/>
              <w:left w:w="110" w:type="dxa"/>
              <w:bottom w:w="70" w:type="dxa"/>
              <w:right w:w="110" w:type="dxa"/>
            </w:tcMar>
            <w:vAlign w:val="center"/>
          </w:tcPr>
          <w:p w14:paraId="0A8801AA" w14:textId="77777777" w:rsidR="00E94315" w:rsidRDefault="00E94315">
            <w:pPr>
              <w:jc w:val="center"/>
            </w:pPr>
          </w:p>
        </w:tc>
        <w:tc>
          <w:tcPr>
            <w:tcW w:w="1300" w:type="dxa"/>
            <w:shd w:val="clear" w:color="auto" w:fill="FFFFFF"/>
            <w:tcMar>
              <w:top w:w="70" w:type="dxa"/>
              <w:left w:w="110" w:type="dxa"/>
              <w:bottom w:w="70" w:type="dxa"/>
              <w:right w:w="110" w:type="dxa"/>
            </w:tcMar>
            <w:vAlign w:val="center"/>
          </w:tcPr>
          <w:p w14:paraId="1EB48C2F" w14:textId="77777777" w:rsidR="00E94315" w:rsidRDefault="00000000">
            <w:pPr>
              <w:jc w:val="center"/>
            </w:pPr>
            <w:r>
              <w:rPr>
                <w:b/>
                <w:bCs/>
                <w:sz w:val="19"/>
                <w:szCs w:val="19"/>
              </w:rPr>
              <w:t>35 (3.4%)</w:t>
            </w:r>
          </w:p>
        </w:tc>
      </w:tr>
    </w:tbl>
    <w:p w14:paraId="3D8E2324" w14:textId="3675C52C" w:rsidR="00E94315" w:rsidRPr="00F06321" w:rsidRDefault="00000000">
      <w:pPr>
        <w:spacing w:after="200"/>
        <w:jc w:val="center"/>
      </w:pPr>
      <w:r>
        <w:rPr>
          <w:color w:val="5A6B7E"/>
          <w:sz w:val="17"/>
          <w:szCs w:val="17"/>
        </w:rPr>
        <w:t xml:space="preserve">Exhibit 2. Screening funnel: 1,022 completed → 987 analyzed  </w:t>
      </w:r>
    </w:p>
    <w:tbl>
      <w:tblPr>
        <w:tblStyle w:val="a5"/>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6B2ECA1E" w14:textId="77777777">
        <w:tc>
          <w:tcPr>
            <w:tcW w:w="9360" w:type="dxa"/>
            <w:shd w:val="clear" w:color="auto" w:fill="F3F5F6"/>
            <w:tcMar>
              <w:top w:w="120" w:type="dxa"/>
              <w:left w:w="200" w:type="dxa"/>
              <w:bottom w:w="120" w:type="dxa"/>
              <w:right w:w="160" w:type="dxa"/>
            </w:tcMar>
          </w:tcPr>
          <w:p w14:paraId="10E6F40C" w14:textId="77777777" w:rsidR="00E94315" w:rsidRDefault="00000000">
            <w:pPr>
              <w:spacing w:after="60"/>
            </w:pPr>
            <w:r>
              <w:rPr>
                <w:rFonts w:ascii="Poppins SemiBold" w:eastAsia="Poppins SemiBold" w:hAnsi="Poppins SemiBold" w:cs="Poppins SemiBold"/>
                <w:color w:val="0B7472"/>
                <w:sz w:val="19"/>
                <w:szCs w:val="19"/>
              </w:rPr>
              <w:t>Anonymity threshold</w:t>
            </w:r>
          </w:p>
          <w:p w14:paraId="072D2D48" w14:textId="77777777" w:rsidR="00E94315" w:rsidRDefault="00000000">
            <w:pPr>
              <w:spacing w:after="40"/>
            </w:pPr>
            <w:r>
              <w:rPr>
                <w:b/>
                <w:bCs/>
                <w:sz w:val="19"/>
                <w:szCs w:val="19"/>
              </w:rPr>
              <w:t xml:space="preserve">No result is reported for any group of fewer than 5 respondents. </w:t>
            </w:r>
            <w:r>
              <w:rPr>
                <w:sz w:val="19"/>
                <w:szCs w:val="19"/>
              </w:rPr>
              <w:t>Suppressed cells are shown as “n/a (below reporting threshold)” — never silently dropped. Open-ended quotations are paraphrased where verbatim wording could identify the author.</w:t>
            </w:r>
          </w:p>
        </w:tc>
      </w:tr>
    </w:tbl>
    <w:p w14:paraId="7D0CCC1E" w14:textId="77777777" w:rsidR="00E94315" w:rsidRDefault="00000000">
      <w:r>
        <w:br w:type="page"/>
      </w:r>
    </w:p>
    <w:p w14:paraId="6EFF9867"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04  </w:t>
      </w:r>
      <w:r>
        <w:rPr>
          <w:rFonts w:ascii="Poppins SemiBold" w:eastAsia="Poppins SemiBold" w:hAnsi="Poppins SemiBold" w:cs="Poppins SemiBold"/>
          <w:color w:val="0B1F3A"/>
          <w:sz w:val="30"/>
          <w:szCs w:val="30"/>
        </w:rPr>
        <w:t xml:space="preserve">Results by objective</w:t>
      </w:r>
    </w:p>
    <w:p w14:paraId="5E868AD9" w14:textId="77777777" w:rsidR="00E94315" w:rsidRDefault="00000000">
      <w:pPr>
        <w:pStyle w:val="Heading2"/>
        <w:spacing w:before="240" w:after="120"/>
      </w:pPr>
      <w:r>
        <w:rPr>
          <w:rFonts w:ascii="Poppins SemiBold" w:eastAsia="Poppins SemiBold" w:hAnsi="Poppins SemiBold" w:cs="Poppins SemiBold"/>
          <w:color w:val="0B1F3A"/>
          <w:sz w:val="24"/>
          <w:szCs w:val="24"/>
        </w:rPr>
        <w:t>4.1 · Engagement: uneven, and concentrated where turnover is (CORE)</w:t>
      </w:r>
    </w:p>
    <w:p w14:paraId="6A89822B" w14:textId="77777777" w:rsidR="00E94315" w:rsidRDefault="00000000">
      <w:pPr>
        <w:spacing w:after="140"/>
      </w:pPr>
      <w:r>
        <w:t xml:space="preserve">The engagement index (mean of six agreement items, rescaled 0–100) averages 65.4 weighted. </w:t>
      </w:r>
      <w:r>
        <w:rPr>
          <w:b/>
          <w:bCs/>
        </w:rPr>
        <w:t xml:space="preserve">The story is not the average but the spread: </w:t>
      </w:r>
      <w:r>
        <w:t>Engineering (74) and the smaller office functions sit comfortably above it, while Warehouse &amp; Logistics (61) and Production (64) — 69% of headcount and the locus of the turnover increase — sit below.</w:t>
      </w:r>
    </w:p>
    <w:p w14:paraId="38539592" w14:textId="77777777" w:rsidR="00E94315" w:rsidRDefault="00000000">
      <w:pPr>
        <w:spacing w:before="120" w:after="60"/>
        <w:jc w:val="center"/>
      </w:pPr>
      <w:r>
        <w:rPr>
          <w:noProof/>
        </w:rPr>
        <w:drawing>
          <wp:inline distT="0" distB="0" distL="0" distR="0" wp14:anchorId="2C1BF885" wp14:editId="4819E241">
            <wp:extent cx="5905500" cy="2876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05500" cy="2876550"/>
                    </a:xfrm>
                    <a:prstGeom prst="rect">
                      <a:avLst/>
                    </a:prstGeom>
                    <a:ln/>
                  </pic:spPr>
                </pic:pic>
              </a:graphicData>
            </a:graphic>
          </wp:inline>
        </w:drawing>
      </w:r>
    </w:p>
    <w:p w14:paraId="799DD5BB" w14:textId="5F3C582D" w:rsidR="00E94315" w:rsidRPr="00C55443" w:rsidRDefault="00000000" w:rsidP="00F06321">
      <w:pPr>
        <w:spacing w:after="200"/>
        <w:jc w:val="center"/>
        <w:rPr>
          <w:color w:val="000000" w:themeColor="text1"/>
        </w:rPr>
      </w:pPr>
      <w:r>
        <w:rPr>
          <w:color w:val="000000" w:themeColor="text1"/>
          <w:sz w:val="17"/>
          <w:szCs w:val="17"/>
        </w:rPr>
        <w:t xml:space="preserve">Fig. 1. Engagement index by unit vs. organization average (weighted, n=987)  </w:t>
      </w:r>
    </w:p>
    <w:p w14:paraId="7D6C627F" w14:textId="290F99A1" w:rsidR="00E94315" w:rsidRDefault="00000000">
      <w:pPr>
        <w:pStyle w:val="Heading2"/>
        <w:spacing w:before="240" w:after="120"/>
      </w:pPr>
      <w:r>
        <w:rPr>
          <w:rFonts w:ascii="Poppins SemiBold" w:eastAsia="Poppins SemiBold" w:hAnsi="Poppins SemiBold" w:cs="Poppins SemiBold"/>
          <w:color w:val="0B1F3A"/>
          <w:sz w:val="24"/>
          <w:szCs w:val="24"/>
        </w:rPr>
        <w:t xml:space="preserve">4.2 · Willingness to recommend: eNPS −3, dragged by the frontline (NPS)</w:t>
      </w:r>
    </w:p>
    <w:p w14:paraId="420B9E5E" w14:textId="77777777" w:rsidR="00E94315" w:rsidRDefault="00000000">
      <w:pPr>
        <w:spacing w:after="140"/>
      </w:pPr>
      <w:r>
        <w:t>Employee Net Promoter Score is % promoters (9–10) minus % detractors (0–6) on the 0–10 recommendation scale. The organization scores −3: for every promoter there is slightly more than one detractor.</w:t>
      </w:r>
    </w:p>
    <w:p w14:paraId="52C75C21" w14:textId="77777777" w:rsidR="00E94315" w:rsidRDefault="00000000">
      <w:pPr>
        <w:spacing w:before="120" w:after="60"/>
        <w:jc w:val="center"/>
      </w:pPr>
      <w:r>
        <w:rPr>
          <w:noProof/>
        </w:rPr>
        <w:drawing>
          <wp:inline distT="0" distB="0" distL="0" distR="0" wp14:anchorId="2409AC96" wp14:editId="222EA939">
            <wp:extent cx="5905500" cy="30384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05500" cy="3038475"/>
                    </a:xfrm>
                    <a:prstGeom prst="rect">
                      <a:avLst/>
                    </a:prstGeom>
                    <a:ln/>
                  </pic:spPr>
                </pic:pic>
              </a:graphicData>
            </a:graphic>
          </wp:inline>
        </w:drawing>
      </w:r>
    </w:p>
    <w:p w14:paraId="452651FA" w14:textId="77777777" w:rsidR="00E94315" w:rsidRDefault="00000000">
      <w:pPr>
        <w:spacing w:after="200"/>
        <w:jc w:val="center"/>
      </w:pPr>
      <w:r>
        <w:rPr>
          <w:i/>
          <w:iCs/>
          <w:color w:val="5A6B7E"/>
          <w:sz w:val="17"/>
          <w:szCs w:val="17"/>
        </w:rPr>
        <w:lastRenderedPageBreak/>
        <w:t xml:space="preserve">Fig. 2. Promoter / passive / detractor shares and eNPS by unit (weighted)  ·  Illustrative, synthetic data.</w:t>
      </w:r>
    </w:p>
    <w:p w14:paraId="6A23C48D" w14:textId="77777777" w:rsidR="00E94315" w:rsidRDefault="00000000">
      <w:pPr>
        <w:spacing w:after="140"/>
      </w:pPr>
      <w:r>
        <w:rPr>
          <w:b/>
          <w:bCs/>
        </w:rPr>
        <w:t xml:space="preserve">Two disclosures we make in every report. </w:t>
      </w:r>
      <w:r>
        <w:t xml:space="preserve">First, the mean score (6.4) is reported only as a secondary statistic — the mean and the index can move in opposite directions (detractors softening from 2 to 5 raises the mean and leaves eNPS unchanged), and any divergence is explained, not hidden. Second, small segments produce unstable eNPS: a 24-person unit moves ±8 points on one changed answer, which is why every segment score carries a confidence interval.</w:t>
      </w:r>
    </w:p>
    <w:p w14:paraId="7938422A" w14:textId="77777777" w:rsidR="00E94315" w:rsidRDefault="00000000">
      <w:pPr>
        <w:pStyle w:val="Heading2"/>
        <w:spacing w:before="240" w:after="120"/>
      </w:pPr>
      <w:r>
        <w:rPr>
          <w:rFonts w:ascii="Poppins SemiBold" w:eastAsia="Poppins SemiBold" w:hAnsi="Poppins SemiBold" w:cs="Poppins SemiBold"/>
          <w:color w:val="0B1F3A"/>
          <w:sz w:val="24"/>
          <w:szCs w:val="24"/>
        </w:rPr>
        <w:t>4.3 · What matters vs. what we deliver: the gap map (GAP)</w:t>
      </w:r>
    </w:p>
    <w:p w14:paraId="7E4F4981" w14:textId="77777777" w:rsidR="00E94315" w:rsidRDefault="00000000">
      <w:pPr>
        <w:spacing w:after="140"/>
      </w:pPr>
      <w:r>
        <w:t>Each of 18 working conditions was rated twice — importance when choosing an employer, and satisfaction in the current role (7-point scales; “not applicable” available on satisfaction and excluded from means). Plotting the two against each other separates what to fix from what to protect. Quadrant boundaries are the within-survey medians, not scale midpoints — this is disclosed because it affects interpretation: quadrants describe relative position in this workforce, this wave.</w:t>
      </w:r>
    </w:p>
    <w:p w14:paraId="42C3CAA1" w14:textId="77777777" w:rsidR="00E94315" w:rsidRDefault="00000000">
      <w:pPr>
        <w:spacing w:before="120" w:after="60"/>
        <w:jc w:val="center"/>
      </w:pPr>
      <w:r>
        <w:rPr>
          <w:noProof/>
        </w:rPr>
        <w:drawing>
          <wp:inline distT="0" distB="0" distL="0" distR="0" wp14:anchorId="731EA20E" wp14:editId="793BF5AF">
            <wp:extent cx="5334000" cy="4152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334000" cy="4152900"/>
                    </a:xfrm>
                    <a:prstGeom prst="rect">
                      <a:avLst/>
                    </a:prstGeom>
                    <a:ln/>
                  </pic:spPr>
                </pic:pic>
              </a:graphicData>
            </a:graphic>
          </wp:inline>
        </w:drawing>
      </w:r>
    </w:p>
    <w:p w14:paraId="6C416A90" w14:textId="32EA59BE" w:rsidR="00E94315" w:rsidRPr="00C55443" w:rsidRDefault="00000000">
      <w:pPr>
        <w:spacing w:after="200"/>
        <w:jc w:val="center"/>
        <w:rPr>
          <w:color w:val="000000" w:themeColor="text1"/>
          <w:sz w:val="17"/>
          <w:szCs w:val="17"/>
          <w:lang w:val="ru-RU"/>
        </w:rPr>
      </w:pPr>
      <w:r>
        <w:rPr>
          <w:color w:val="000000" w:themeColor="text1"/>
          <w:sz w:val="17"/>
          <w:szCs w:val="17"/>
        </w:rPr>
        <w:t xml:space="preserve">Fig. 3. Importance × satisfaction, 18 conditions (weighted means; codes in Appendix A) </w:t>
      </w:r>
    </w:p>
    <w:p w14:paraId="24A1FB9E" w14:textId="77777777" w:rsidR="00E94315" w:rsidRDefault="00000000">
      <w:pPr>
        <w:spacing w:after="140"/>
      </w:pPr>
      <w:r>
        <w:rPr>
          <w:b/>
          <w:bCs/>
        </w:rPr>
        <w:t xml:space="preserve">Four conditions land in the action zone: </w:t>
      </w:r>
      <w:r>
        <w:t>pay fairness (PAY), sustainable workload (WKL), career growth (GRW), and communication &amp; information (COM). Voice &amp; participation (VOI) and recognition (REC) sit just outside it with below-median satisfaction. Team relationships (TEA), workplace safety (SAF), and the manager relationship (MGR) are strengths — the recommendation section treats them as assets to protect, not targets for new spending.</w:t>
      </w:r>
    </w:p>
    <w:p w14:paraId="753EA60D" w14:textId="77777777" w:rsidR="00E94315" w:rsidRDefault="00000000">
      <w:pPr>
        <w:spacing w:before="120" w:after="60"/>
        <w:jc w:val="center"/>
      </w:pPr>
      <w:r>
        <w:rPr>
          <w:noProof/>
        </w:rPr>
        <w:lastRenderedPageBreak/>
        <w:drawing>
          <wp:inline distT="0" distB="0" distL="0" distR="0" wp14:anchorId="0C4D2B7F" wp14:editId="709C3AF7">
            <wp:extent cx="5366385" cy="3476625"/>
            <wp:effectExtent l="0" t="0" r="5715" b="317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66385" cy="3476625"/>
                    </a:xfrm>
                    <a:prstGeom prst="rect">
                      <a:avLst/>
                    </a:prstGeom>
                    <a:ln/>
                  </pic:spPr>
                </pic:pic>
              </a:graphicData>
            </a:graphic>
          </wp:inline>
        </w:drawing>
      </w:r>
    </w:p>
    <w:p w14:paraId="7F752FC3" w14:textId="48E461DF" w:rsidR="00E94315" w:rsidRPr="00C55443" w:rsidRDefault="00000000">
      <w:pPr>
        <w:spacing w:after="200"/>
        <w:jc w:val="center"/>
        <w:rPr>
          <w:color w:val="000000" w:themeColor="text1"/>
        </w:rPr>
      </w:pPr>
      <w:r>
        <w:rPr>
          <w:color w:val="000000" w:themeColor="text1"/>
          <w:sz w:val="17"/>
          <w:szCs w:val="17"/>
        </w:rPr>
        <w:t xml:space="preserve">Fig. 4. Gap score (importance − satisfaction), ranked; gaps ≥ 1.3 highlighted  </w:t>
      </w:r>
    </w:p>
    <w:p w14:paraId="4DB65362" w14:textId="77777777" w:rsidR="00E94315" w:rsidRDefault="00000000">
      <w:pPr>
        <w:spacing w:after="140"/>
      </w:pPr>
      <w:r>
        <w:rPr>
          <w:b/>
          <w:bCs/>
        </w:rPr>
        <w:t xml:space="preserve">Coverage note: </w:t>
      </w:r>
      <w:r>
        <w:t>8% of respondents selected “not applicable” on the benefits satisfaction item (mostly employees under 90 days, not yet benefits-eligible) and 3% on learning &amp; development. These responses are excluded from the means above and reported here rather than recoded to the midpoint.</w:t>
      </w:r>
    </w:p>
    <w:p w14:paraId="66A9C711" w14:textId="77777777" w:rsidR="00E94315" w:rsidRDefault="00000000">
      <w:pPr>
        <w:pStyle w:val="Heading2"/>
        <w:spacing w:before="240" w:after="120"/>
      </w:pPr>
      <w:r>
        <w:rPr>
          <w:rFonts w:ascii="Poppins SemiBold" w:eastAsia="Poppins SemiBold" w:hAnsi="Poppins SemiBold" w:cs="Poppins SemiBold"/>
          <w:color w:val="0B1F3A"/>
          <w:sz w:val="24"/>
          <w:szCs w:val="24"/>
        </w:rPr>
        <w:t>4.4 · Burnout risk: demand-driven, concentrated mid-tenure (BRN)</w:t>
      </w:r>
    </w:p>
    <w:p w14:paraId="1A46C9AB" w14:textId="24310723" w:rsidR="00E94315" w:rsidRDefault="00000000">
      <w:pPr>
        <w:spacing w:after="140"/>
      </w:pPr>
      <w:r>
        <w:t xml:space="preserve">The burnout module is an organizational risk screen — six items covering exhaustion, recovery, disengagement, and sustainability — reported only at segment level. Respondents are assigned to low / moderate / elevated tiers by pre-set cutpoints on the summed score (cutpoint logic in Appendix A).</w:t>
      </w:r>
    </w:p>
    <w:p w14:paraId="28B36D94" w14:textId="77777777" w:rsidR="00E94315" w:rsidRDefault="00000000">
      <w:pPr>
        <w:spacing w:before="120" w:after="60"/>
        <w:jc w:val="center"/>
      </w:pPr>
      <w:r>
        <w:rPr>
          <w:noProof/>
        </w:rPr>
        <w:drawing>
          <wp:inline distT="0" distB="0" distL="0" distR="0" wp14:anchorId="603C1C4B" wp14:editId="58B5EC3D">
            <wp:extent cx="4697730" cy="2199312"/>
            <wp:effectExtent l="0" t="0" r="127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697730" cy="2199312"/>
                    </a:xfrm>
                    <a:prstGeom prst="rect">
                      <a:avLst/>
                    </a:prstGeom>
                    <a:ln/>
                  </pic:spPr>
                </pic:pic>
              </a:graphicData>
            </a:graphic>
          </wp:inline>
        </w:drawing>
      </w:r>
    </w:p>
    <w:p w14:paraId="35DC8932" w14:textId="3A31A65B" w:rsidR="005178D2" w:rsidRPr="00C55443" w:rsidRDefault="00000000" w:rsidP="005178D2">
      <w:pPr>
        <w:spacing w:after="200"/>
        <w:jc w:val="center"/>
        <w:rPr>
          <w:color w:val="000000" w:themeColor="text1"/>
          <w:sz w:val="17"/>
          <w:szCs w:val="17"/>
          <w:lang w:val="ru-RU"/>
        </w:rPr>
      </w:pPr>
      <w:r>
        <w:rPr>
          <w:color w:val="000000" w:themeColor="text1"/>
          <w:sz w:val="17"/>
          <w:szCs w:val="17"/>
        </w:rPr>
        <w:t xml:space="preserve">Fig. 5. Burnout risk tiers by tenure band (weighted) </w:t>
      </w:r>
    </w:p>
    <w:p w14:paraId="6738E363" w14:textId="77777777" w:rsidR="00E94315" w:rsidRDefault="00000000">
      <w:pPr>
        <w:spacing w:after="140"/>
      </w:pPr>
      <w:r>
        <w:rPr>
          <w:b/>
          <w:bCs/>
        </w:rPr>
        <w:lastRenderedPageBreak/>
        <w:t xml:space="preserve">Risk peaks at 3–6 years of tenure (31% elevated), not among newcomers — </w:t>
      </w:r>
      <w:r>
        <w:t>the employees who carry the most institutional knowledge and are most expensive to replace. By unit, elevated-tier share ranges from 12% (Finance &amp; Admin) to 29% (Production); the night-shift Quality cell (n=4) is n/a (below reporting threshold).</w:t>
      </w:r>
    </w:p>
    <w:p w14:paraId="0C78375E" w14:textId="77777777" w:rsidR="00E94315" w:rsidRDefault="00000000">
      <w:pPr>
        <w:spacing w:after="140"/>
      </w:pPr>
      <w:r>
        <w:t>The screen separates two mechanisms: demand (energy depletion, unsustainable workload) and recovery (whether normal rest restores capacity). Units in the lower-right of Fig. 6 need structural workload intervention; resilience or wellness programming does not fix a staffing-model problem.</w:t>
      </w:r>
    </w:p>
    <w:p w14:paraId="7AF0C1EC" w14:textId="77777777" w:rsidR="00E94315" w:rsidRDefault="00000000">
      <w:pPr>
        <w:spacing w:before="120" w:after="60"/>
        <w:jc w:val="center"/>
      </w:pPr>
      <w:r>
        <w:rPr>
          <w:noProof/>
        </w:rPr>
        <w:drawing>
          <wp:inline distT="0" distB="0" distL="0" distR="0" wp14:anchorId="5D880D17" wp14:editId="476B09B1">
            <wp:extent cx="5143500" cy="39338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143500" cy="3933825"/>
                    </a:xfrm>
                    <a:prstGeom prst="rect">
                      <a:avLst/>
                    </a:prstGeom>
                    <a:ln/>
                  </pic:spPr>
                </pic:pic>
              </a:graphicData>
            </a:graphic>
          </wp:inline>
        </w:drawing>
      </w:r>
    </w:p>
    <w:p w14:paraId="014C8475" w14:textId="6C70A92A" w:rsidR="00E94315" w:rsidRPr="00C55443" w:rsidRDefault="00000000">
      <w:pPr>
        <w:spacing w:after="200"/>
        <w:jc w:val="center"/>
        <w:rPr>
          <w:color w:val="000000" w:themeColor="text1"/>
          <w:sz w:val="17"/>
          <w:szCs w:val="17"/>
          <w:lang w:val="ru-RU"/>
        </w:rPr>
      </w:pPr>
      <w:r>
        <w:rPr>
          <w:color w:val="000000" w:themeColor="text1"/>
          <w:sz w:val="17"/>
          <w:szCs w:val="17"/>
        </w:rPr>
        <w:t xml:space="preserve">Fig. 6. Demand load vs. recovery adequacy by unit (bubble size = n)  </w:t>
      </w:r>
    </w:p>
    <w:p w14:paraId="6D74E429" w14:textId="77777777" w:rsidR="00C55443" w:rsidRDefault="00C55443">
      <w:pPr>
        <w:spacing w:after="200"/>
        <w:jc w:val="center"/>
        <w:rPr>
          <w:color w:val="5A6B7E"/>
          <w:sz w:val="17"/>
          <w:szCs w:val="17"/>
          <w:lang w:val="ru-RU"/>
        </w:rPr>
      </w:pPr>
    </w:p>
    <w:p w14:paraId="1D3FD810" w14:textId="77777777" w:rsidR="00C55443" w:rsidRDefault="00C55443">
      <w:pPr>
        <w:spacing w:after="200"/>
        <w:jc w:val="center"/>
        <w:rPr>
          <w:color w:val="5A6B7E"/>
          <w:sz w:val="17"/>
          <w:szCs w:val="17"/>
          <w:lang w:val="ru-RU"/>
        </w:rPr>
      </w:pPr>
    </w:p>
    <w:p w14:paraId="7357C236" w14:textId="77777777" w:rsidR="00C55443" w:rsidRDefault="00C55443">
      <w:pPr>
        <w:spacing w:after="200"/>
        <w:jc w:val="center"/>
        <w:rPr>
          <w:color w:val="5A6B7E"/>
          <w:sz w:val="17"/>
          <w:szCs w:val="17"/>
          <w:lang w:val="ru-RU"/>
        </w:rPr>
      </w:pPr>
    </w:p>
    <w:p w14:paraId="2798428C" w14:textId="77777777" w:rsidR="00C55443" w:rsidRDefault="00C55443">
      <w:pPr>
        <w:spacing w:after="200"/>
        <w:jc w:val="center"/>
        <w:rPr>
          <w:color w:val="5A6B7E"/>
          <w:sz w:val="17"/>
          <w:szCs w:val="17"/>
          <w:lang w:val="ru-RU"/>
        </w:rPr>
      </w:pPr>
    </w:p>
    <w:p w14:paraId="3486905F" w14:textId="77777777" w:rsidR="00C55443" w:rsidRDefault="00C55443">
      <w:pPr>
        <w:spacing w:after="200"/>
        <w:jc w:val="center"/>
        <w:rPr>
          <w:color w:val="5A6B7E"/>
          <w:sz w:val="17"/>
          <w:szCs w:val="17"/>
          <w:lang w:val="ru-RU"/>
        </w:rPr>
      </w:pPr>
    </w:p>
    <w:p w14:paraId="7CB118F2" w14:textId="77777777" w:rsidR="00C55443" w:rsidRDefault="00C55443">
      <w:pPr>
        <w:spacing w:after="200"/>
        <w:jc w:val="center"/>
        <w:rPr>
          <w:color w:val="5A6B7E"/>
          <w:sz w:val="17"/>
          <w:szCs w:val="17"/>
          <w:lang w:val="ru-RU"/>
        </w:rPr>
      </w:pPr>
    </w:p>
    <w:p w14:paraId="58434E8C" w14:textId="77777777" w:rsidR="00C55443" w:rsidRDefault="00C55443">
      <w:pPr>
        <w:spacing w:after="200"/>
        <w:jc w:val="center"/>
        <w:rPr>
          <w:color w:val="5A6B7E"/>
          <w:sz w:val="17"/>
          <w:szCs w:val="17"/>
          <w:lang w:val="ru-RU"/>
        </w:rPr>
      </w:pPr>
    </w:p>
    <w:p w14:paraId="2AE20C01" w14:textId="77777777" w:rsidR="00C55443" w:rsidRDefault="00C55443">
      <w:pPr>
        <w:spacing w:after="200"/>
        <w:jc w:val="center"/>
        <w:rPr>
          <w:color w:val="5A6B7E"/>
          <w:sz w:val="17"/>
          <w:szCs w:val="17"/>
          <w:lang w:val="ru-RU"/>
        </w:rPr>
      </w:pPr>
    </w:p>
    <w:p w14:paraId="5BA710C8" w14:textId="77777777" w:rsidR="00C55443" w:rsidRDefault="00C55443">
      <w:pPr>
        <w:spacing w:after="200"/>
        <w:jc w:val="center"/>
        <w:rPr>
          <w:color w:val="5A6B7E"/>
          <w:sz w:val="17"/>
          <w:szCs w:val="17"/>
          <w:lang w:val="ru-RU"/>
        </w:rPr>
      </w:pPr>
    </w:p>
    <w:p w14:paraId="141D398F" w14:textId="77777777" w:rsidR="00C55443" w:rsidRDefault="00C55443">
      <w:pPr>
        <w:spacing w:after="200"/>
        <w:jc w:val="center"/>
        <w:rPr>
          <w:color w:val="5A6B7E"/>
          <w:sz w:val="17"/>
          <w:szCs w:val="17"/>
          <w:lang w:val="ru-RU"/>
        </w:rPr>
      </w:pPr>
    </w:p>
    <w:p w14:paraId="6D7B393D" w14:textId="77777777" w:rsidR="00C55443" w:rsidRPr="00C55443" w:rsidRDefault="00C55443">
      <w:pPr>
        <w:spacing w:after="200"/>
        <w:jc w:val="center"/>
        <w:rPr>
          <w:lang w:val="ru-RU"/>
        </w:rPr>
      </w:pPr>
    </w:p>
    <w:p w14:paraId="6F822A6F" w14:textId="77777777" w:rsidR="00E94315" w:rsidRDefault="00000000">
      <w:pPr>
        <w:pStyle w:val="Heading2"/>
        <w:spacing w:before="240" w:after="120"/>
      </w:pPr>
      <w:r>
        <w:rPr>
          <w:rFonts w:ascii="Poppins SemiBold" w:eastAsia="Poppins SemiBold" w:hAnsi="Poppins SemiBold" w:cs="Poppins SemiBold"/>
          <w:color w:val="0B1F3A"/>
          <w:sz w:val="24"/>
          <w:szCs w:val="24"/>
        </w:rPr>
        <w:lastRenderedPageBreak/>
        <w:t>4.5 · What employees say in their own words (OPEN)</w:t>
      </w:r>
    </w:p>
    <w:p w14:paraId="6FA2CB6D" w14:textId="77777777" w:rsidR="00E94315" w:rsidRDefault="00000000">
      <w:pPr>
        <w:spacing w:after="140"/>
      </w:pPr>
      <w:r>
        <w:t>Three open-ended items were coded thematically by two coders with adjudication (94% initial agreement). Themes are cross-tabulated by promoter class — what detractors want changed, and what promoters insist must not change:</w:t>
      </w:r>
    </w:p>
    <w:p w14:paraId="5362F794" w14:textId="77777777" w:rsidR="00E94315" w:rsidRDefault="00000000">
      <w:pPr>
        <w:spacing w:before="120" w:after="60"/>
        <w:jc w:val="center"/>
      </w:pPr>
      <w:r>
        <w:rPr>
          <w:noProof/>
        </w:rPr>
        <w:drawing>
          <wp:inline distT="0" distB="0" distL="0" distR="0" wp14:anchorId="705F9913" wp14:editId="1E805C93">
            <wp:extent cx="5905500" cy="31908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05500" cy="3190875"/>
                    </a:xfrm>
                    <a:prstGeom prst="rect">
                      <a:avLst/>
                    </a:prstGeom>
                    <a:ln/>
                  </pic:spPr>
                </pic:pic>
              </a:graphicData>
            </a:graphic>
          </wp:inline>
        </w:drawing>
      </w:r>
    </w:p>
    <w:p w14:paraId="16C0C0A9" w14:textId="2B4FD94A" w:rsidR="00E94315" w:rsidRPr="00C55443" w:rsidRDefault="00000000">
      <w:pPr>
        <w:spacing w:after="200"/>
        <w:jc w:val="center"/>
        <w:rPr>
          <w:color w:val="000000" w:themeColor="text1"/>
        </w:rPr>
      </w:pPr>
      <w:r>
        <w:rPr>
          <w:color w:val="000000" w:themeColor="text1"/>
          <w:sz w:val="17"/>
          <w:szCs w:val="17"/>
        </w:rPr>
        <w:t xml:space="preserve">Fig. 7. Theme frequency among detractors vs. promoters (multi-code; “keep” themes from OPN-02)</w:t>
      </w:r>
    </w:p>
    <w:p w14:paraId="7BABC957" w14:textId="77777777" w:rsidR="00E94315" w:rsidRDefault="00000000">
      <w:pPr>
        <w:spacing w:after="140"/>
      </w:pPr>
      <w:r>
        <w:t xml:space="preserve">Two paraphrased responses illustrate the dominant pair of themes </w:t>
      </w:r>
      <w:r>
        <w:rPr>
          <w:i/>
          <w:iCs/>
        </w:rPr>
        <w:t>(paraphrased to protect anonymity; role metadata shown only where the cell exceeds the reporting threshold):</w:t>
      </w:r>
    </w:p>
    <w:tbl>
      <w:tblPr>
        <w:tblStyle w:val="a6"/>
        <w:tblW w:w="9360" w:type="dxa"/>
        <w:tblInd w:w="0" w:type="dxa"/>
        <w:tblBorders>
          <w:top w:val="nil"/>
          <w:left w:val="single" w:sz="18" w:space="0" w:color="7FA58F"/>
          <w:bottom w:val="nil"/>
          <w:right w:val="nil"/>
          <w:insideH w:val="nil"/>
          <w:insideV w:val="nil"/>
        </w:tblBorders>
        <w:tblLayout w:type="fixed"/>
        <w:tblLook w:val="0000" w:firstRow="0" w:lastRow="0" w:firstColumn="0" w:lastColumn="0" w:noHBand="0" w:noVBand="0"/>
      </w:tblPr>
      <w:tblGrid>
        <w:gridCol w:w="9360"/>
      </w:tblGrid>
      <w:tr w:rsidR="00E94315" w14:paraId="30F790D3" w14:textId="77777777">
        <w:tc>
          <w:tcPr>
            <w:tcW w:w="9360" w:type="dxa"/>
            <w:shd w:val="clear" w:color="auto" w:fill="F3F5F6"/>
            <w:tcMar>
              <w:top w:w="120" w:type="dxa"/>
              <w:left w:w="200" w:type="dxa"/>
              <w:bottom w:w="120" w:type="dxa"/>
              <w:right w:w="160" w:type="dxa"/>
            </w:tcMar>
          </w:tcPr>
          <w:p w14:paraId="0858066B" w14:textId="77777777" w:rsidR="00E94315" w:rsidRDefault="00000000">
            <w:pPr>
              <w:spacing w:after="60"/>
            </w:pPr>
            <w:r>
              <w:rPr>
                <w:rFonts w:ascii="Poppins SemiBold" w:eastAsia="Poppins SemiBold" w:hAnsi="Poppins SemiBold" w:cs="Poppins SemiBold"/>
                <w:color w:val="7FA58F"/>
                <w:sz w:val="19"/>
                <w:szCs w:val="19"/>
              </w:rPr>
              <w:t>From the open-ended responses (paraphrased, synthetic)</w:t>
            </w:r>
          </w:p>
          <w:p w14:paraId="33FAFB6E" w14:textId="77777777" w:rsidR="00E94315" w:rsidRPr="00C55443" w:rsidRDefault="00000000">
            <w:pPr>
              <w:spacing w:after="40"/>
            </w:pPr>
            <w:r>
              <w:rPr>
                <w:sz w:val="19"/>
                <w:szCs w:val="19"/>
              </w:rPr>
              <w:t>“We keep being asked to cover extra shifts because positions stay unfilled — the overtime pay is fine, the pace is not.”  — Production, 3–6 yrs</w:t>
            </w:r>
          </w:p>
          <w:p w14:paraId="3E8C8C85" w14:textId="77777777" w:rsidR="00E94315" w:rsidRDefault="00000000">
            <w:pPr>
              <w:spacing w:after="40"/>
            </w:pPr>
            <w:r>
              <w:rPr>
                <w:sz w:val="19"/>
                <w:szCs w:val="19"/>
              </w:rPr>
              <w:t>“Whatever changes, don’t break the crews. The team is why people stay as long as they do.”  — Warehouse &amp; Logistics, 7+ yrs</w:t>
            </w:r>
          </w:p>
        </w:tc>
      </w:tr>
    </w:tbl>
    <w:p w14:paraId="247BC592" w14:textId="77777777" w:rsidR="00E94315" w:rsidRDefault="00000000">
      <w:r>
        <w:br w:type="page"/>
      </w:r>
    </w:p>
    <w:p w14:paraId="3B57407D"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05  </w:t>
      </w:r>
      <w:r>
        <w:rPr>
          <w:rFonts w:ascii="Poppins SemiBold" w:eastAsia="Poppins SemiBold" w:hAnsi="Poppins SemiBold" w:cs="Poppins SemiBold"/>
          <w:color w:val="0B1F3A"/>
          <w:sz w:val="30"/>
          <w:szCs w:val="30"/>
        </w:rPr>
        <w:t xml:space="preserve">Driver analysis: what actually predicts staying</w:t>
      </w:r>
    </w:p>
    <w:p w14:paraId="1D51DC12" w14:textId="77777777" w:rsidR="00E94315" w:rsidRDefault="00000000">
      <w:pPr>
        <w:spacing w:after="140"/>
      </w:pPr>
      <w:r>
        <w:rPr>
          <w:b/>
          <w:bCs/>
        </w:rPr>
        <w:t xml:space="preserve">This section is the differentiator of the report. </w:t>
      </w:r>
      <w:r>
        <w:t>Sections 4.1–4.3 describe the workforce; this section models it. The criterion is intent to stay (STY-01, “I expect to still be working at this organization twelve months from now”), validated against overall satisfaction (SAT-00) as a secondary criterion.</w:t>
      </w:r>
    </w:p>
    <w:p w14:paraId="68745E27" w14:textId="77777777" w:rsidR="00E94315" w:rsidRDefault="00000000">
      <w:pPr>
        <w:spacing w:after="140"/>
      </w:pPr>
      <w:r>
        <w:t>The analysis proceeds in two disclosed steps. First, transparent bivariate rank correlations between each condition and intent to stay — readable by any stakeholder. Second, because the predictors are intercorrelated (pay fairness correlates with recognition; workload with schedule fit), raw correlations over-credit redundant drivers. A Shapley-value decomposition allocates the model’s explained variance fairly across correlated predictors.</w:t>
      </w:r>
    </w:p>
    <w:p w14:paraId="534CE02C" w14:textId="77777777" w:rsidR="00E94315" w:rsidRDefault="00000000">
      <w:pPr>
        <w:spacing w:before="120" w:after="60"/>
        <w:jc w:val="center"/>
      </w:pPr>
      <w:r>
        <w:rPr>
          <w:noProof/>
        </w:rPr>
        <w:drawing>
          <wp:inline distT="0" distB="0" distL="0" distR="0" wp14:anchorId="3D6C31D1" wp14:editId="7AC00486">
            <wp:extent cx="5905500" cy="36671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05500" cy="3667125"/>
                    </a:xfrm>
                    <a:prstGeom prst="rect">
                      <a:avLst/>
                    </a:prstGeom>
                    <a:ln/>
                  </pic:spPr>
                </pic:pic>
              </a:graphicData>
            </a:graphic>
          </wp:inline>
        </w:drawing>
      </w:r>
    </w:p>
    <w:p w14:paraId="4740E84D" w14:textId="6EFE5390" w:rsidR="00E94315" w:rsidRPr="00B7108D" w:rsidRDefault="00000000">
      <w:pPr>
        <w:spacing w:after="200"/>
        <w:jc w:val="center"/>
        <w:rPr>
          <w:color w:val="000000" w:themeColor="text1"/>
        </w:rPr>
      </w:pPr>
      <w:r>
        <w:rPr>
          <w:color w:val="000000" w:themeColor="text1"/>
          <w:sz w:val="17"/>
          <w:szCs w:val="17"/>
        </w:rPr>
        <w:t xml:space="preserve">Fig. 8. Share of explained variance in intent to stay, with cost-to-address tags (model R² = 0.47) </w:t>
      </w:r>
    </w:p>
    <w:tbl>
      <w:tblPr>
        <w:tblStyle w:val="a7"/>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10B5298E" w14:textId="77777777">
        <w:tc>
          <w:tcPr>
            <w:tcW w:w="9360" w:type="dxa"/>
            <w:shd w:val="clear" w:color="auto" w:fill="F3F5F6"/>
            <w:tcMar>
              <w:top w:w="120" w:type="dxa"/>
              <w:left w:w="200" w:type="dxa"/>
              <w:bottom w:w="120" w:type="dxa"/>
              <w:right w:w="160" w:type="dxa"/>
            </w:tcMar>
          </w:tcPr>
          <w:p w14:paraId="201CB687" w14:textId="77777777" w:rsidR="00E94315" w:rsidRDefault="00000000">
            <w:pPr>
              <w:spacing w:after="60"/>
            </w:pPr>
            <w:r>
              <w:rPr>
                <w:rFonts w:ascii="Poppins SemiBold" w:eastAsia="Poppins SemiBold" w:hAnsi="Poppins SemiBold" w:cs="Poppins SemiBold"/>
                <w:color w:val="0B7472"/>
                <w:sz w:val="19"/>
                <w:szCs w:val="19"/>
              </w:rPr>
              <w:t>Significance ≠ importance</w:t>
            </w:r>
          </w:p>
          <w:p w14:paraId="089329BF" w14:textId="77777777" w:rsidR="00E94315" w:rsidRDefault="00000000">
            <w:pPr>
              <w:spacing w:after="40"/>
            </w:pPr>
            <w:r>
              <w:rPr>
                <w:sz w:val="19"/>
                <w:szCs w:val="19"/>
              </w:rPr>
              <w:t xml:space="preserve">At census scale (n=987), nearly every correlation is statistically significant — significance is a function of sample size, not practical relevance. </w:t>
            </w:r>
            <w:r>
              <w:rPr>
                <w:b/>
                <w:bCs/>
                <w:sz w:val="19"/>
                <w:szCs w:val="19"/>
              </w:rPr>
              <w:t>This report therefore ranks drivers by effect size and never presents unadjusted significance matrices in client-facing sections; the full matrix, with a multiple-comparison note, lives in Appendix D.</w:t>
            </w:r>
          </w:p>
        </w:tc>
      </w:tr>
    </w:tbl>
    <w:p w14:paraId="6A37BB65" w14:textId="77777777" w:rsidR="00C55443" w:rsidRDefault="00C55443">
      <w:pPr>
        <w:spacing w:after="140"/>
        <w:rPr>
          <w:b/>
          <w:bCs/>
        </w:rPr>
      </w:pPr>
    </w:p>
    <w:p w14:paraId="0C3C4639" w14:textId="77777777" w:rsidR="00C55443" w:rsidRDefault="00C55443">
      <w:pPr>
        <w:spacing w:after="140"/>
        <w:rPr>
          <w:b/>
          <w:bCs/>
        </w:rPr>
      </w:pPr>
    </w:p>
    <w:p w14:paraId="70E31782" w14:textId="77777777" w:rsidR="00C55443" w:rsidRDefault="00C55443">
      <w:pPr>
        <w:spacing w:after="140"/>
        <w:rPr>
          <w:b/>
          <w:bCs/>
        </w:rPr>
      </w:pPr>
    </w:p>
    <w:p w14:paraId="37E7B493" w14:textId="77777777" w:rsidR="00C55443" w:rsidRDefault="00C55443">
      <w:pPr>
        <w:spacing w:after="140"/>
        <w:rPr>
          <w:b/>
          <w:bCs/>
        </w:rPr>
      </w:pPr>
    </w:p>
    <w:p w14:paraId="65A1C590" w14:textId="77777777" w:rsidR="00C55443" w:rsidRDefault="00C55443">
      <w:pPr>
        <w:spacing w:after="140"/>
        <w:rPr>
          <w:b/>
          <w:bCs/>
        </w:rPr>
      </w:pPr>
    </w:p>
    <w:p w14:paraId="4C1A81C6" w14:textId="77777777" w:rsidR="00C55443" w:rsidRDefault="00C55443">
      <w:pPr>
        <w:spacing w:after="140"/>
        <w:rPr>
          <w:b/>
          <w:bCs/>
        </w:rPr>
      </w:pPr>
    </w:p>
    <w:p w14:paraId="5B87009F" w14:textId="77777777" w:rsidR="00B7108D" w:rsidRDefault="00B7108D">
      <w:pPr>
        <w:spacing w:after="140"/>
        <w:rPr>
          <w:b/>
          <w:bCs/>
        </w:rPr>
      </w:pPr>
    </w:p>
    <w:p w14:paraId="1107E3A9" w14:textId="2DA98604" w:rsidR="00E94315" w:rsidRDefault="00000000">
      <w:pPr>
        <w:spacing w:after="140"/>
      </w:pPr>
      <w:r>
        <w:rPr>
          <w:b/>
          <w:bCs/>
        </w:rPr>
        <w:t xml:space="preserve">Stated vs. derived importance disagree — and the disagreement is the finding. </w:t>
      </w:r>
      <w:r>
        <w:t>Asked directly, employees rank pay, safety, and job security highest. Modeled against actual intent to stay, career growth moves from 7th to 1st, and job security falls from 3rd to 7th — security matters enormously in the abstract but does not differentiate stayers from leavers at Northgate, where layoffs are not a live fear. Both rankings are shown because the divergence is informative, not an error:</w:t>
      </w:r>
    </w:p>
    <w:p w14:paraId="76B59146" w14:textId="77777777" w:rsidR="00E94315" w:rsidRDefault="00000000">
      <w:pPr>
        <w:spacing w:before="120" w:after="60"/>
        <w:jc w:val="center"/>
      </w:pPr>
      <w:r>
        <w:rPr>
          <w:noProof/>
        </w:rPr>
        <w:drawing>
          <wp:inline distT="0" distB="0" distL="0" distR="0" wp14:anchorId="337A9492" wp14:editId="00A283AD">
            <wp:extent cx="5334000" cy="3657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334000" cy="3657600"/>
                    </a:xfrm>
                    <a:prstGeom prst="rect">
                      <a:avLst/>
                    </a:prstGeom>
                    <a:ln/>
                  </pic:spPr>
                </pic:pic>
              </a:graphicData>
            </a:graphic>
          </wp:inline>
        </w:drawing>
      </w:r>
    </w:p>
    <w:p w14:paraId="2E932431" w14:textId="44FCDD0C" w:rsidR="00E94315" w:rsidRPr="00B7108D" w:rsidRDefault="00000000">
      <w:pPr>
        <w:spacing w:after="200"/>
        <w:jc w:val="center"/>
      </w:pPr>
      <w:r>
        <w:rPr>
          <w:color w:val="5A6B7E"/>
          <w:sz w:val="17"/>
          <w:szCs w:val="17"/>
        </w:rPr>
        <w:t xml:space="preserve">Fig. 9. Stated importance rank vs. model-derived driver rank (top 10)  </w:t>
      </w:r>
    </w:p>
    <w:p w14:paraId="5DE025B8" w14:textId="77777777" w:rsidR="00E94315" w:rsidRDefault="00000000">
      <w:pPr>
        <w:spacing w:after="140"/>
      </w:pPr>
      <w:r>
        <w:rPr>
          <w:b/>
          <w:bCs/>
        </w:rPr>
        <w:t xml:space="preserve">The retention-per-dollar reading: </w:t>
      </w:r>
      <w:r>
        <w:t>recognition, communication, and feedback jointly account for roughly 20% of explained variance and are the cheapest levers on the board — process and management-practice changes, not budget lines. Career growth and workload are structural and mid-cost. Pay is a real driver but the most expensive lever per point; it warrants a targeted equity study, not an across-the-board adjustment on this evidence.</w:t>
      </w:r>
    </w:p>
    <w:p w14:paraId="7B13ED57" w14:textId="77777777" w:rsidR="00E94315" w:rsidRDefault="00000000">
      <w:r>
        <w:br w:type="page"/>
      </w:r>
    </w:p>
    <w:p w14:paraId="46851938" w14:textId="33B8E83B"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06  </w:t>
      </w:r>
      <w:r>
        <w:rPr>
          <w:rFonts w:ascii="Poppins SemiBold" w:eastAsia="Poppins SemiBold" w:hAnsi="Poppins SemiBold" w:cs="Poppins SemiBold"/>
          <w:color w:val="0B1F3A"/>
          <w:sz w:val="30"/>
          <w:szCs w:val="30"/>
        </w:rPr>
        <w:t xml:space="preserve">Recommended actions</w:t>
      </w:r>
    </w:p>
    <w:p w14:paraId="7B25417F" w14:textId="77777777" w:rsidR="00E94315" w:rsidRDefault="00000000">
      <w:pPr>
        <w:spacing w:after="140"/>
      </w:pPr>
      <w:r>
        <w:t>Sequenced by expected retention impact per dollar, using the driver model (Fig. 8), the gap map (Fig. 3), and the burnout mechanism split (Fig. 6). Each action names its evidence.</w:t>
      </w:r>
    </w:p>
    <w:p w14:paraId="5F4EA244" w14:textId="77777777" w:rsidR="00E94315" w:rsidRDefault="00000000">
      <w:pPr>
        <w:pStyle w:val="Heading2"/>
        <w:spacing w:before="240" w:after="120"/>
      </w:pPr>
      <w:r>
        <w:rPr>
          <w:rFonts w:ascii="Poppins SemiBold" w:eastAsia="Poppins SemiBold" w:hAnsi="Poppins SemiBold" w:cs="Poppins SemiBold"/>
          <w:color w:val="0B1F3A"/>
          <w:sz w:val="24"/>
          <w:szCs w:val="24"/>
        </w:rPr>
        <w:t>Now — low-cost levers (this quarter)</w:t>
      </w:r>
    </w:p>
    <w:p w14:paraId="66B3F194" w14:textId="77777777" w:rsidR="00E94315" w:rsidRDefault="00000000">
      <w:pPr>
        <w:numPr>
          <w:ilvl w:val="0"/>
          <w:numId w:val="1"/>
        </w:numPr>
        <w:pBdr>
          <w:top w:val="nil"/>
          <w:left w:val="nil"/>
          <w:bottom w:val="nil"/>
          <w:right w:val="nil"/>
          <w:between w:val="nil"/>
        </w:pBdr>
        <w:spacing w:after="100"/>
      </w:pPr>
      <w:r>
        <w:rPr>
          <w:b/>
          <w:bCs/>
        </w:rPr>
        <w:t xml:space="preserve">Stand up a structured recognition practice in Production and Warehouse </w:t>
      </w:r>
      <w:r>
        <w:t>(REC: 8.3% of driver variance, largest low-cost lever; detractor theme #6). Manager-led, specific, weekly cadence — not an awards program.</w:t>
      </w:r>
    </w:p>
    <w:p w14:paraId="2047A3AB" w14:textId="77777777" w:rsidR="00E94315" w:rsidRDefault="00000000">
      <w:pPr>
        <w:numPr>
          <w:ilvl w:val="0"/>
          <w:numId w:val="1"/>
        </w:numPr>
        <w:pBdr>
          <w:top w:val="nil"/>
          <w:left w:val="nil"/>
          <w:bottom w:val="nil"/>
          <w:right w:val="nil"/>
          <w:between w:val="nil"/>
        </w:pBdr>
        <w:spacing w:after="100"/>
      </w:pPr>
      <w:r>
        <w:rPr>
          <w:b/>
          <w:bCs/>
        </w:rPr>
        <w:t xml:space="preserve">Fix the leadership communication rhythm </w:t>
      </w:r>
      <w:r>
        <w:t>(COM: action-zone gap −1.4; 6.9% of variance; detractor theme #4). Monthly all-hands with a standing “what changed and why” segment; shift-start briefings on the floor.</w:t>
      </w:r>
    </w:p>
    <w:p w14:paraId="775E95FC" w14:textId="77777777" w:rsidR="00E94315" w:rsidRDefault="00000000">
      <w:pPr>
        <w:numPr>
          <w:ilvl w:val="0"/>
          <w:numId w:val="1"/>
        </w:numPr>
        <w:pBdr>
          <w:top w:val="nil"/>
          <w:left w:val="nil"/>
          <w:bottom w:val="nil"/>
          <w:right w:val="nil"/>
          <w:between w:val="nil"/>
        </w:pBdr>
        <w:spacing w:after="100"/>
      </w:pPr>
      <w:r>
        <w:rPr>
          <w:b/>
          <w:bCs/>
        </w:rPr>
        <w:t xml:space="preserve">Make evaluation criteria explicit </w:t>
      </w:r>
      <w:r>
        <w:t xml:space="preserve">(FDK: 5.2% of variance). Every employee should be able to answer “how is my work judged and what would improve it.”</w:t>
      </w:r>
    </w:p>
    <w:p w14:paraId="02ACCD9A" w14:textId="77777777" w:rsidR="00E94315" w:rsidRDefault="00000000">
      <w:pPr>
        <w:pStyle w:val="Heading2"/>
        <w:spacing w:before="240" w:after="120"/>
      </w:pPr>
      <w:r>
        <w:rPr>
          <w:rFonts w:ascii="Poppins SemiBold" w:eastAsia="Poppins SemiBold" w:hAnsi="Poppins SemiBold" w:cs="Poppins SemiBold"/>
          <w:color w:val="0B1F3A"/>
          <w:sz w:val="24"/>
          <w:szCs w:val="24"/>
        </w:rPr>
        <w:t>Next — structural fixes (2–3 quarters)</w:t>
      </w:r>
    </w:p>
    <w:p w14:paraId="3A583362" w14:textId="77777777" w:rsidR="00E94315" w:rsidRDefault="00000000">
      <w:pPr>
        <w:numPr>
          <w:ilvl w:val="0"/>
          <w:numId w:val="1"/>
        </w:numPr>
        <w:pBdr>
          <w:top w:val="nil"/>
          <w:left w:val="nil"/>
          <w:bottom w:val="nil"/>
          <w:right w:val="nil"/>
          <w:between w:val="nil"/>
        </w:pBdr>
        <w:spacing w:after="100"/>
      </w:pPr>
      <w:r>
        <w:rPr>
          <w:b/>
          <w:bCs/>
        </w:rPr>
        <w:t xml:space="preserve">Commission the staffing-model review for Production and Warehouse </w:t>
      </w:r>
      <w:r>
        <w:t>(WKL: action zone, 11.8% of variance; burnout is demand-driven in exactly these units — Fig. 6; staffing is detractor theme #2). Target: reduce sustained overtime dependence, not add resilience training.</w:t>
      </w:r>
    </w:p>
    <w:p w14:paraId="64B81769" w14:textId="77777777" w:rsidR="00E94315" w:rsidRDefault="00000000">
      <w:pPr>
        <w:numPr>
          <w:ilvl w:val="0"/>
          <w:numId w:val="1"/>
        </w:numPr>
        <w:pBdr>
          <w:top w:val="nil"/>
          <w:left w:val="nil"/>
          <w:bottom w:val="nil"/>
          <w:right w:val="nil"/>
          <w:between w:val="nil"/>
        </w:pBdr>
        <w:spacing w:after="100"/>
      </w:pPr>
      <w:r>
        <w:rPr>
          <w:b/>
          <w:bCs/>
        </w:rPr>
        <w:t xml:space="preserve">Publish technical career paths </w:t>
      </w:r>
      <w:r>
        <w:t>(GRW: #1 derived driver at 16.2%; action zone). Dual-ladder design so growth does not require leaving the tools or the site.</w:t>
      </w:r>
    </w:p>
    <w:p w14:paraId="0566FBB4" w14:textId="77777777" w:rsidR="00E94315" w:rsidRDefault="00000000">
      <w:pPr>
        <w:pStyle w:val="Heading2"/>
        <w:spacing w:before="240" w:after="120"/>
      </w:pPr>
      <w:r>
        <w:rPr>
          <w:rFonts w:ascii="Poppins SemiBold" w:eastAsia="Poppins SemiBold" w:hAnsi="Poppins SemiBold" w:cs="Poppins SemiBold"/>
          <w:color w:val="0B1F3A"/>
          <w:sz w:val="24"/>
          <w:szCs w:val="24"/>
        </w:rPr>
        <w:t>Then — evidence before spending (before FY-27 budget close)</w:t>
      </w:r>
    </w:p>
    <w:p w14:paraId="5AD2D2B9" w14:textId="77777777" w:rsidR="00E94315" w:rsidRDefault="00000000">
      <w:pPr>
        <w:numPr>
          <w:ilvl w:val="0"/>
          <w:numId w:val="1"/>
        </w:numPr>
        <w:pBdr>
          <w:top w:val="nil"/>
          <w:left w:val="nil"/>
          <w:bottom w:val="nil"/>
          <w:right w:val="nil"/>
          <w:between w:val="nil"/>
        </w:pBdr>
        <w:spacing w:after="100"/>
      </w:pPr>
      <w:r>
        <w:rPr>
          <w:b/>
          <w:bCs/>
        </w:rPr>
        <w:t xml:space="preserve">Run a targeted pay-equity and market-benchmark study </w:t>
      </w:r>
      <w:r>
        <w:t>(PAY: #2 driver, widest gap at −2.3, and the most expensive lever). The census shows pay fairness perception is a problem; it cannot show whether the fix is levels, structure, or transparency. Do not make across-the-board moves on perception data alone.</w:t>
      </w:r>
    </w:p>
    <w:p w14:paraId="64EAF519" w14:textId="77777777" w:rsidR="00E94315" w:rsidRDefault="00000000">
      <w:pPr>
        <w:numPr>
          <w:ilvl w:val="0"/>
          <w:numId w:val="1"/>
        </w:numPr>
        <w:pBdr>
          <w:top w:val="nil"/>
          <w:left w:val="nil"/>
          <w:bottom w:val="nil"/>
          <w:right w:val="nil"/>
          <w:between w:val="nil"/>
        </w:pBdr>
        <w:spacing w:after="100"/>
      </w:pPr>
      <w:r>
        <w:rPr>
          <w:b/>
          <w:bCs/>
        </w:rPr>
        <w:t xml:space="preserve">Protect the strengths: </w:t>
      </w:r>
      <w:r>
        <w:t>team cohesion and safety practice are the top “do not change” themes among promoters. Any reorganization of crews should be tested against this finding.</w:t>
      </w:r>
    </w:p>
    <w:p w14:paraId="24C99D85" w14:textId="77777777" w:rsidR="00E94315" w:rsidRDefault="00E94315">
      <w:pPr>
        <w:spacing w:after="120"/>
      </w:pPr>
    </w:p>
    <w:tbl>
      <w:tblPr>
        <w:tblStyle w:val="a8"/>
        <w:tblW w:w="9360" w:type="dxa"/>
        <w:tblInd w:w="0" w:type="dxa"/>
        <w:tblBorders>
          <w:top w:val="nil"/>
          <w:left w:val="single" w:sz="18" w:space="0" w:color="0B7472"/>
          <w:bottom w:val="nil"/>
          <w:right w:val="nil"/>
          <w:insideH w:val="nil"/>
          <w:insideV w:val="nil"/>
        </w:tblBorders>
        <w:tblLayout w:type="fixed"/>
        <w:tblLook w:val="0000" w:firstRow="0" w:lastRow="0" w:firstColumn="0" w:lastColumn="0" w:noHBand="0" w:noVBand="0"/>
      </w:tblPr>
      <w:tblGrid>
        <w:gridCol w:w="9360"/>
      </w:tblGrid>
      <w:tr w:rsidR="00E94315" w14:paraId="1A30A6F2" w14:textId="77777777">
        <w:tc>
          <w:tcPr>
            <w:tcW w:w="9360" w:type="dxa"/>
            <w:shd w:val="clear" w:color="auto" w:fill="F3F5F6"/>
            <w:tcMar>
              <w:top w:w="120" w:type="dxa"/>
              <w:left w:w="200" w:type="dxa"/>
              <w:bottom w:w="120" w:type="dxa"/>
              <w:right w:w="160" w:type="dxa"/>
            </w:tcMar>
          </w:tcPr>
          <w:p w14:paraId="65ACBE32" w14:textId="77777777" w:rsidR="00E94315" w:rsidRDefault="00000000">
            <w:pPr>
              <w:spacing w:after="60"/>
            </w:pPr>
            <w:r>
              <w:rPr>
                <w:rFonts w:ascii="Poppins SemiBold" w:eastAsia="Poppins SemiBold" w:hAnsi="Poppins SemiBold" w:cs="Poppins SemiBold"/>
                <w:color w:val="0B7472"/>
                <w:sz w:val="19"/>
                <w:szCs w:val="19"/>
              </w:rPr>
              <w:t>Measurement follow-up</w:t>
            </w:r>
          </w:p>
          <w:p w14:paraId="2F097DED" w14:textId="77777777" w:rsidR="00E94315" w:rsidRDefault="00000000">
            <w:pPr>
              <w:spacing w:after="40"/>
            </w:pPr>
            <w:r>
              <w:rPr>
                <w:sz w:val="19"/>
                <w:szCs w:val="19"/>
              </w:rPr>
              <w:t xml:space="preserve">Re-field a 5-minute pulse (CORE-short + eNPS + one open-end) in Q4 2026 against this baseline. Identical wording, comparable fielding window. Movement of ±3 index points at org level is within noise; read direction at unit level.</w:t>
            </w:r>
          </w:p>
        </w:tc>
      </w:tr>
    </w:tbl>
    <w:p w14:paraId="57814E15" w14:textId="77777777" w:rsidR="00E94315" w:rsidRDefault="00000000">
      <w:pPr>
        <w:pStyle w:val="Heading1"/>
        <w:spacing w:before="320" w:after="160"/>
      </w:pPr>
      <w:r>
        <w:rPr>
          <w:rFonts w:ascii="Poppins SemiBold" w:eastAsia="Poppins SemiBold" w:hAnsi="Poppins SemiBold" w:cs="Poppins SemiBold"/>
          <w:color w:val="0B7472"/>
          <w:sz w:val="30"/>
          <w:szCs w:val="30"/>
        </w:rPr>
        <w:t xml:space="preserve">07  </w:t>
      </w:r>
      <w:r>
        <w:rPr>
          <w:rFonts w:ascii="Poppins SemiBold" w:eastAsia="Poppins SemiBold" w:hAnsi="Poppins SemiBold" w:cs="Poppins SemiBold"/>
          <w:color w:val="0B1F3A"/>
          <w:sz w:val="30"/>
          <w:szCs w:val="30"/>
        </w:rPr>
        <w:t>Limitations</w:t>
      </w:r>
    </w:p>
    <w:p w14:paraId="169D5000" w14:textId="77777777" w:rsidR="00E94315" w:rsidRDefault="00000000">
      <w:pPr>
        <w:numPr>
          <w:ilvl w:val="0"/>
          <w:numId w:val="1"/>
        </w:numPr>
        <w:pBdr>
          <w:top w:val="nil"/>
          <w:left w:val="nil"/>
          <w:bottom w:val="nil"/>
          <w:right w:val="nil"/>
          <w:between w:val="nil"/>
        </w:pBdr>
        <w:spacing w:after="100"/>
      </w:pPr>
      <w:r>
        <w:t>Cross-sectional design: the driver model identifies predictive association at one point in time, not proven causation. The Q4 pulse and Wave 2 census will test whether movement on the levers precedes movement in intent to stay.</w:t>
      </w:r>
    </w:p>
    <w:p w14:paraId="2C12D7B5" w14:textId="77777777" w:rsidR="00E94315" w:rsidRDefault="00000000">
      <w:pPr>
        <w:numPr>
          <w:ilvl w:val="0"/>
          <w:numId w:val="1"/>
        </w:numPr>
        <w:pBdr>
          <w:top w:val="nil"/>
          <w:left w:val="nil"/>
          <w:bottom w:val="nil"/>
          <w:right w:val="nil"/>
          <w:between w:val="nil"/>
        </w:pBdr>
        <w:spacing w:after="100"/>
      </w:pPr>
      <w:r>
        <w:t>Intent to stay is a proxy for retention. It is the strongest survey-measurable predictor of voluntary turnover, but linkage to actual exit records (a Wave 2 option, subject to the anonymity protocol) would strengthen the model.</w:t>
      </w:r>
    </w:p>
    <w:p w14:paraId="69EA0E12" w14:textId="77777777" w:rsidR="00E94315" w:rsidRDefault="00000000">
      <w:pPr>
        <w:numPr>
          <w:ilvl w:val="0"/>
          <w:numId w:val="1"/>
        </w:numPr>
        <w:pBdr>
          <w:top w:val="nil"/>
          <w:left w:val="nil"/>
          <w:bottom w:val="nil"/>
          <w:right w:val="nil"/>
          <w:between w:val="nil"/>
        </w:pBdr>
        <w:spacing w:after="100"/>
      </w:pPr>
      <w:r>
        <w:lastRenderedPageBreak/>
        <w:t>Self-report burnout screen: tiers indicate where organizational intervention should be prioritized; they are not diagnoses and are never reported below segment level.</w:t>
      </w:r>
    </w:p>
    <w:p w14:paraId="532AC824" w14:textId="77777777" w:rsidR="00E94315" w:rsidRDefault="00000000">
      <w:pPr>
        <w:numPr>
          <w:ilvl w:val="0"/>
          <w:numId w:val="1"/>
        </w:numPr>
        <w:pBdr>
          <w:top w:val="nil"/>
          <w:left w:val="nil"/>
          <w:bottom w:val="nil"/>
          <w:right w:val="nil"/>
          <w:between w:val="nil"/>
        </w:pBdr>
        <w:spacing w:after="100"/>
      </w:pPr>
      <w:r>
        <w:t>Stated importance reflects what employees can and will articulate; derived importance reflects statistical association. Both are shown; neither is treated as ground truth alone.</w:t>
      </w:r>
    </w:p>
    <w:p w14:paraId="2B4CF3BB" w14:textId="77777777" w:rsidR="00E94315" w:rsidRDefault="00000000">
      <w:pPr>
        <w:numPr>
          <w:ilvl w:val="0"/>
          <w:numId w:val="1"/>
        </w:numPr>
        <w:pBdr>
          <w:top w:val="nil"/>
          <w:left w:val="nil"/>
          <w:bottom w:val="nil"/>
          <w:right w:val="nil"/>
          <w:between w:val="nil"/>
        </w:pBdr>
        <w:spacing w:after="100"/>
      </w:pPr>
      <w:r>
        <w:t>Small units (IT n=24, HR n=10) carry wide intervals; their scores are directional. One cell (night-shift Quality, n=4) is suppressed under the reporting threshold.</w:t>
      </w:r>
    </w:p>
    <w:p w14:paraId="422F20EE" w14:textId="77777777" w:rsidR="00E94315" w:rsidRDefault="00000000">
      <w:pPr>
        <w:numPr>
          <w:ilvl w:val="0"/>
          <w:numId w:val="1"/>
        </w:numPr>
        <w:pBdr>
          <w:top w:val="nil"/>
          <w:left w:val="nil"/>
          <w:bottom w:val="nil"/>
          <w:right w:val="nil"/>
          <w:between w:val="nil"/>
        </w:pBdr>
        <w:spacing w:after="100"/>
      </w:pPr>
      <w:r>
        <w:t>First wave: no internal trend exists yet. External benchmarks are not used — cross-vendor benchmark databases differ in items, scales, and populations, and comparisons against them are not defensible. The baseline standard here is internal comparison across units and waves.</w:t>
      </w:r>
    </w:p>
    <w:p w14:paraId="250F15B1" w14:textId="77777777" w:rsidR="00E94315" w:rsidRDefault="00000000">
      <w:r>
        <w:br w:type="page"/>
      </w:r>
    </w:p>
    <w:p w14:paraId="4EBFE8DD" w14:textId="77777777" w:rsidR="00E94315" w:rsidRDefault="00000000">
      <w:pPr>
        <w:pStyle w:val="Heading1"/>
        <w:spacing w:before="320" w:after="160"/>
      </w:pPr>
      <w:r>
        <w:rPr>
          <w:rFonts w:ascii="Poppins SemiBold" w:eastAsia="Poppins SemiBold" w:hAnsi="Poppins SemiBold" w:cs="Poppins SemiBold"/>
          <w:color w:val="0B7472"/>
          <w:sz w:val="30"/>
          <w:szCs w:val="30"/>
        </w:rPr>
        <w:lastRenderedPageBreak/>
        <w:t xml:space="preserve">A–D  </w:t>
      </w:r>
      <w:r>
        <w:rPr>
          <w:rFonts w:ascii="Poppins SemiBold" w:eastAsia="Poppins SemiBold" w:hAnsi="Poppins SemiBold" w:cs="Poppins SemiBold"/>
          <w:color w:val="0B1F3A"/>
          <w:sz w:val="30"/>
          <w:szCs w:val="30"/>
        </w:rPr>
        <w:t>Appendices</w:t>
      </w:r>
    </w:p>
    <w:p w14:paraId="33553DA7"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A · Instrument provenance and scales (summary)</w:t>
      </w:r>
    </w:p>
    <w:p w14:paraId="682B0190" w14:textId="4E6DEE43" w:rsidR="00E94315" w:rsidRDefault="00000000">
      <w:pPr>
        <w:spacing w:after="140"/>
      </w:pPr>
      <w:r>
        <w:t xml:space="preserve">All items fielded in this study are original Measure &amp; Meaning formulations. </w:t>
      </w:r>
    </w:p>
    <w:tbl>
      <w:tblPr>
        <w:tblStyle w:val="a9"/>
        <w:tblW w:w="9360" w:type="dxa"/>
        <w:tblInd w:w="0" w:type="dxa"/>
        <w:tblBorders>
          <w:top w:val="nil"/>
          <w:left w:val="nil"/>
          <w:bottom w:val="nil"/>
          <w:right w:val="nil"/>
          <w:insideH w:val="single" w:sz="4" w:space="0" w:color="E2E7EB"/>
          <w:insideV w:val="nil"/>
        </w:tblBorders>
        <w:tblLayout w:type="fixed"/>
        <w:tblLook w:val="0000" w:firstRow="0" w:lastRow="0" w:firstColumn="0" w:lastColumn="0" w:noHBand="0" w:noVBand="0"/>
      </w:tblPr>
      <w:tblGrid>
        <w:gridCol w:w="1100"/>
        <w:gridCol w:w="1750"/>
        <w:gridCol w:w="3350"/>
        <w:gridCol w:w="3160"/>
      </w:tblGrid>
      <w:tr w:rsidR="00E94315" w14:paraId="66338645" w14:textId="77777777">
        <w:trPr>
          <w:tblHeader/>
        </w:trPr>
        <w:tc>
          <w:tcPr>
            <w:tcW w:w="1100" w:type="dxa"/>
            <w:shd w:val="clear" w:color="auto" w:fill="0B1F3A"/>
            <w:tcMar>
              <w:top w:w="70" w:type="dxa"/>
              <w:left w:w="110" w:type="dxa"/>
              <w:bottom w:w="70" w:type="dxa"/>
              <w:right w:w="110" w:type="dxa"/>
            </w:tcMar>
            <w:vAlign w:val="center"/>
          </w:tcPr>
          <w:p w14:paraId="54E7DF9B" w14:textId="77777777" w:rsidR="00E94315" w:rsidRDefault="00000000">
            <w:r>
              <w:rPr>
                <w:b/>
                <w:bCs/>
                <w:color w:val="FFFFFF"/>
                <w:sz w:val="18"/>
                <w:szCs w:val="18"/>
              </w:rPr>
              <w:t>Module</w:t>
            </w:r>
          </w:p>
        </w:tc>
        <w:tc>
          <w:tcPr>
            <w:tcW w:w="1750" w:type="dxa"/>
            <w:shd w:val="clear" w:color="auto" w:fill="0B1F3A"/>
            <w:tcMar>
              <w:top w:w="70" w:type="dxa"/>
              <w:left w:w="110" w:type="dxa"/>
              <w:bottom w:w="70" w:type="dxa"/>
              <w:right w:w="110" w:type="dxa"/>
            </w:tcMar>
            <w:vAlign w:val="center"/>
          </w:tcPr>
          <w:p w14:paraId="5E7A2588" w14:textId="77777777" w:rsidR="00E94315" w:rsidRDefault="00000000">
            <w:pPr>
              <w:jc w:val="center"/>
            </w:pPr>
            <w:r>
              <w:rPr>
                <w:b/>
                <w:bCs/>
                <w:color w:val="FFFFFF"/>
                <w:sz w:val="18"/>
                <w:szCs w:val="18"/>
              </w:rPr>
              <w:t>Items</w:t>
            </w:r>
          </w:p>
        </w:tc>
        <w:tc>
          <w:tcPr>
            <w:tcW w:w="3350" w:type="dxa"/>
            <w:shd w:val="clear" w:color="auto" w:fill="0B1F3A"/>
            <w:tcMar>
              <w:top w:w="70" w:type="dxa"/>
              <w:left w:w="110" w:type="dxa"/>
              <w:bottom w:w="70" w:type="dxa"/>
              <w:right w:w="110" w:type="dxa"/>
            </w:tcMar>
            <w:vAlign w:val="center"/>
          </w:tcPr>
          <w:p w14:paraId="0EFEC5A6" w14:textId="77777777" w:rsidR="00E94315" w:rsidRDefault="00000000">
            <w:pPr>
              <w:jc w:val="center"/>
            </w:pPr>
            <w:r>
              <w:rPr>
                <w:b/>
                <w:bCs/>
                <w:color w:val="FFFFFF"/>
                <w:sz w:val="18"/>
                <w:szCs w:val="18"/>
              </w:rPr>
              <w:t>Scale</w:t>
            </w:r>
          </w:p>
        </w:tc>
        <w:tc>
          <w:tcPr>
            <w:tcW w:w="3160" w:type="dxa"/>
            <w:shd w:val="clear" w:color="auto" w:fill="0B1F3A"/>
            <w:tcMar>
              <w:top w:w="70" w:type="dxa"/>
              <w:left w:w="110" w:type="dxa"/>
              <w:bottom w:w="70" w:type="dxa"/>
              <w:right w:w="110" w:type="dxa"/>
            </w:tcMar>
            <w:vAlign w:val="center"/>
          </w:tcPr>
          <w:p w14:paraId="5EF132B7" w14:textId="77777777" w:rsidR="00E94315" w:rsidRDefault="00000000">
            <w:pPr>
              <w:jc w:val="center"/>
            </w:pPr>
            <w:r>
              <w:rPr>
                <w:b/>
                <w:bCs/>
                <w:color w:val="FFFFFF"/>
                <w:sz w:val="18"/>
                <w:szCs w:val="18"/>
              </w:rPr>
              <w:t>Index rule (disclosed)</w:t>
            </w:r>
          </w:p>
        </w:tc>
      </w:tr>
      <w:tr w:rsidR="00E94315" w14:paraId="483DBC81" w14:textId="77777777">
        <w:tc>
          <w:tcPr>
            <w:tcW w:w="1100" w:type="dxa"/>
            <w:shd w:val="clear" w:color="auto" w:fill="FFFFFF"/>
            <w:tcMar>
              <w:top w:w="70" w:type="dxa"/>
              <w:left w:w="110" w:type="dxa"/>
              <w:bottom w:w="70" w:type="dxa"/>
              <w:right w:w="110" w:type="dxa"/>
            </w:tcMar>
            <w:vAlign w:val="center"/>
          </w:tcPr>
          <w:p w14:paraId="61B30591" w14:textId="77777777" w:rsidR="00E94315" w:rsidRDefault="00000000">
            <w:r>
              <w:rPr>
                <w:sz w:val="19"/>
                <w:szCs w:val="19"/>
              </w:rPr>
              <w:t>CORE</w:t>
            </w:r>
          </w:p>
        </w:tc>
        <w:tc>
          <w:tcPr>
            <w:tcW w:w="1750" w:type="dxa"/>
            <w:shd w:val="clear" w:color="auto" w:fill="FFFFFF"/>
            <w:tcMar>
              <w:top w:w="70" w:type="dxa"/>
              <w:left w:w="110" w:type="dxa"/>
              <w:bottom w:w="70" w:type="dxa"/>
              <w:right w:w="110" w:type="dxa"/>
            </w:tcMar>
            <w:vAlign w:val="center"/>
          </w:tcPr>
          <w:p w14:paraId="2BE97939" w14:textId="77777777" w:rsidR="00E94315" w:rsidRDefault="00000000">
            <w:pPr>
              <w:jc w:val="center"/>
            </w:pPr>
            <w:r>
              <w:rPr>
                <w:sz w:val="19"/>
                <w:szCs w:val="19"/>
              </w:rPr>
              <w:t>6</w:t>
            </w:r>
          </w:p>
        </w:tc>
        <w:tc>
          <w:tcPr>
            <w:tcW w:w="3350" w:type="dxa"/>
            <w:shd w:val="clear" w:color="auto" w:fill="FFFFFF"/>
            <w:tcMar>
              <w:top w:w="70" w:type="dxa"/>
              <w:left w:w="110" w:type="dxa"/>
              <w:bottom w:w="70" w:type="dxa"/>
              <w:right w:w="110" w:type="dxa"/>
            </w:tcMar>
            <w:vAlign w:val="center"/>
          </w:tcPr>
          <w:p w14:paraId="36DC489D" w14:textId="77777777" w:rsidR="00E94315" w:rsidRDefault="00000000">
            <w:pPr>
              <w:jc w:val="center"/>
            </w:pPr>
            <w:r>
              <w:rPr>
                <w:sz w:val="19"/>
                <w:szCs w:val="19"/>
              </w:rPr>
              <w:t>5-pt agreement</w:t>
            </w:r>
          </w:p>
        </w:tc>
        <w:tc>
          <w:tcPr>
            <w:tcW w:w="3160" w:type="dxa"/>
            <w:shd w:val="clear" w:color="auto" w:fill="FFFFFF"/>
            <w:tcMar>
              <w:top w:w="70" w:type="dxa"/>
              <w:left w:w="110" w:type="dxa"/>
              <w:bottom w:w="70" w:type="dxa"/>
              <w:right w:w="110" w:type="dxa"/>
            </w:tcMar>
            <w:vAlign w:val="center"/>
          </w:tcPr>
          <w:p w14:paraId="3BDA7EC2" w14:textId="77777777" w:rsidR="00E94315" w:rsidRDefault="00000000">
            <w:pPr>
              <w:jc w:val="center"/>
            </w:pPr>
            <w:r>
              <w:rPr>
                <w:sz w:val="19"/>
                <w:szCs w:val="19"/>
              </w:rPr>
              <w:t>Mean of 6, rescaled 0–100</w:t>
            </w:r>
          </w:p>
        </w:tc>
      </w:tr>
      <w:tr w:rsidR="00E94315" w14:paraId="47CF1158" w14:textId="77777777">
        <w:tc>
          <w:tcPr>
            <w:tcW w:w="1100" w:type="dxa"/>
            <w:shd w:val="clear" w:color="auto" w:fill="F3F5F6"/>
            <w:tcMar>
              <w:top w:w="70" w:type="dxa"/>
              <w:left w:w="110" w:type="dxa"/>
              <w:bottom w:w="70" w:type="dxa"/>
              <w:right w:w="110" w:type="dxa"/>
            </w:tcMar>
            <w:vAlign w:val="center"/>
          </w:tcPr>
          <w:p w14:paraId="03758D83" w14:textId="77777777" w:rsidR="00E94315" w:rsidRDefault="00000000">
            <w:r>
              <w:rPr>
                <w:sz w:val="19"/>
                <w:szCs w:val="19"/>
              </w:rPr>
              <w:t>NPS</w:t>
            </w:r>
          </w:p>
        </w:tc>
        <w:tc>
          <w:tcPr>
            <w:tcW w:w="1750" w:type="dxa"/>
            <w:shd w:val="clear" w:color="auto" w:fill="F3F5F6"/>
            <w:tcMar>
              <w:top w:w="70" w:type="dxa"/>
              <w:left w:w="110" w:type="dxa"/>
              <w:bottom w:w="70" w:type="dxa"/>
              <w:right w:w="110" w:type="dxa"/>
            </w:tcMar>
            <w:vAlign w:val="center"/>
          </w:tcPr>
          <w:p w14:paraId="4FC29C9A" w14:textId="77777777" w:rsidR="00E94315" w:rsidRDefault="00000000">
            <w:pPr>
              <w:jc w:val="center"/>
            </w:pPr>
            <w:r>
              <w:rPr>
                <w:sz w:val="19"/>
                <w:szCs w:val="19"/>
              </w:rPr>
              <w:t>1 + open</w:t>
            </w:r>
          </w:p>
        </w:tc>
        <w:tc>
          <w:tcPr>
            <w:tcW w:w="3350" w:type="dxa"/>
            <w:shd w:val="clear" w:color="auto" w:fill="F3F5F6"/>
            <w:tcMar>
              <w:top w:w="70" w:type="dxa"/>
              <w:left w:w="110" w:type="dxa"/>
              <w:bottom w:w="70" w:type="dxa"/>
              <w:right w:w="110" w:type="dxa"/>
            </w:tcMar>
            <w:vAlign w:val="center"/>
          </w:tcPr>
          <w:p w14:paraId="77FE9AC1" w14:textId="77777777" w:rsidR="00E94315" w:rsidRDefault="00000000">
            <w:pPr>
              <w:jc w:val="center"/>
            </w:pPr>
            <w:r>
              <w:rPr>
                <w:sz w:val="19"/>
                <w:szCs w:val="19"/>
              </w:rPr>
              <w:t>0–10 canonical</w:t>
            </w:r>
          </w:p>
        </w:tc>
        <w:tc>
          <w:tcPr>
            <w:tcW w:w="3160" w:type="dxa"/>
            <w:shd w:val="clear" w:color="auto" w:fill="F3F5F6"/>
            <w:tcMar>
              <w:top w:w="70" w:type="dxa"/>
              <w:left w:w="110" w:type="dxa"/>
              <w:bottom w:w="70" w:type="dxa"/>
              <w:right w:w="110" w:type="dxa"/>
            </w:tcMar>
            <w:vAlign w:val="center"/>
          </w:tcPr>
          <w:p w14:paraId="7D83E402" w14:textId="77777777" w:rsidR="00E94315" w:rsidRDefault="00000000">
            <w:pPr>
              <w:jc w:val="center"/>
            </w:pPr>
            <w:r>
              <w:rPr>
                <w:sz w:val="19"/>
                <w:szCs w:val="19"/>
              </w:rPr>
              <w:t>% promoters − % detractors; mean secondary</w:t>
            </w:r>
          </w:p>
        </w:tc>
      </w:tr>
      <w:tr w:rsidR="00E94315" w14:paraId="779AB42B" w14:textId="77777777">
        <w:tc>
          <w:tcPr>
            <w:tcW w:w="1100" w:type="dxa"/>
            <w:shd w:val="clear" w:color="auto" w:fill="FFFFFF"/>
            <w:tcMar>
              <w:top w:w="70" w:type="dxa"/>
              <w:left w:w="110" w:type="dxa"/>
              <w:bottom w:w="70" w:type="dxa"/>
              <w:right w:w="110" w:type="dxa"/>
            </w:tcMar>
            <w:vAlign w:val="center"/>
          </w:tcPr>
          <w:p w14:paraId="6DD9371B" w14:textId="77777777" w:rsidR="00E94315" w:rsidRDefault="00000000">
            <w:r>
              <w:rPr>
                <w:sz w:val="19"/>
                <w:szCs w:val="19"/>
              </w:rPr>
              <w:t>GAP</w:t>
            </w:r>
          </w:p>
        </w:tc>
        <w:tc>
          <w:tcPr>
            <w:tcW w:w="1750" w:type="dxa"/>
            <w:shd w:val="clear" w:color="auto" w:fill="FFFFFF"/>
            <w:tcMar>
              <w:top w:w="70" w:type="dxa"/>
              <w:left w:w="110" w:type="dxa"/>
              <w:bottom w:w="70" w:type="dxa"/>
              <w:right w:w="110" w:type="dxa"/>
            </w:tcMar>
            <w:vAlign w:val="center"/>
          </w:tcPr>
          <w:p w14:paraId="4123F45B" w14:textId="77777777" w:rsidR="00E94315" w:rsidRDefault="00000000">
            <w:pPr>
              <w:jc w:val="center"/>
            </w:pPr>
            <w:r>
              <w:rPr>
                <w:sz w:val="19"/>
                <w:szCs w:val="19"/>
              </w:rPr>
              <w:t>18 × 2 + SAT-00</w:t>
            </w:r>
          </w:p>
        </w:tc>
        <w:tc>
          <w:tcPr>
            <w:tcW w:w="3350" w:type="dxa"/>
            <w:shd w:val="clear" w:color="auto" w:fill="FFFFFF"/>
            <w:tcMar>
              <w:top w:w="70" w:type="dxa"/>
              <w:left w:w="110" w:type="dxa"/>
              <w:bottom w:w="70" w:type="dxa"/>
              <w:right w:w="110" w:type="dxa"/>
            </w:tcMar>
            <w:vAlign w:val="center"/>
          </w:tcPr>
          <w:p w14:paraId="1B620FF7" w14:textId="77777777" w:rsidR="00E94315" w:rsidRDefault="00000000">
            <w:pPr>
              <w:jc w:val="center"/>
            </w:pPr>
            <w:r>
              <w:rPr>
                <w:sz w:val="19"/>
                <w:szCs w:val="19"/>
              </w:rPr>
              <w:t>7-pt verbalized; N/A off-scale on satisfaction</w:t>
            </w:r>
          </w:p>
        </w:tc>
        <w:tc>
          <w:tcPr>
            <w:tcW w:w="3160" w:type="dxa"/>
            <w:shd w:val="clear" w:color="auto" w:fill="FFFFFF"/>
            <w:tcMar>
              <w:top w:w="70" w:type="dxa"/>
              <w:left w:w="110" w:type="dxa"/>
              <w:bottom w:w="70" w:type="dxa"/>
              <w:right w:w="110" w:type="dxa"/>
            </w:tcMar>
            <w:vAlign w:val="center"/>
          </w:tcPr>
          <w:p w14:paraId="1C0B4675" w14:textId="77777777" w:rsidR="00E94315" w:rsidRDefault="00000000">
            <w:pPr>
              <w:jc w:val="center"/>
            </w:pPr>
            <w:r>
              <w:rPr>
                <w:sz w:val="19"/>
                <w:szCs w:val="19"/>
              </w:rPr>
              <w:t>Quadrants at within-survey medians; gap = I − S</w:t>
            </w:r>
          </w:p>
        </w:tc>
      </w:tr>
      <w:tr w:rsidR="00E94315" w14:paraId="664D31A6" w14:textId="77777777">
        <w:tc>
          <w:tcPr>
            <w:tcW w:w="1100" w:type="dxa"/>
            <w:shd w:val="clear" w:color="auto" w:fill="F3F5F6"/>
            <w:tcMar>
              <w:top w:w="70" w:type="dxa"/>
              <w:left w:w="110" w:type="dxa"/>
              <w:bottom w:w="70" w:type="dxa"/>
              <w:right w:w="110" w:type="dxa"/>
            </w:tcMar>
            <w:vAlign w:val="center"/>
          </w:tcPr>
          <w:p w14:paraId="04FEC245" w14:textId="77777777" w:rsidR="00E94315" w:rsidRDefault="00000000">
            <w:r>
              <w:rPr>
                <w:sz w:val="19"/>
                <w:szCs w:val="19"/>
              </w:rPr>
              <w:t>BRN</w:t>
            </w:r>
          </w:p>
        </w:tc>
        <w:tc>
          <w:tcPr>
            <w:tcW w:w="1750" w:type="dxa"/>
            <w:shd w:val="clear" w:color="auto" w:fill="F3F5F6"/>
            <w:tcMar>
              <w:top w:w="70" w:type="dxa"/>
              <w:left w:w="110" w:type="dxa"/>
              <w:bottom w:w="70" w:type="dxa"/>
              <w:right w:w="110" w:type="dxa"/>
            </w:tcMar>
            <w:vAlign w:val="center"/>
          </w:tcPr>
          <w:p w14:paraId="3C6F9314" w14:textId="77777777" w:rsidR="00E94315" w:rsidRDefault="00000000">
            <w:pPr>
              <w:jc w:val="center"/>
            </w:pPr>
            <w:r>
              <w:rPr>
                <w:sz w:val="19"/>
                <w:szCs w:val="19"/>
              </w:rPr>
              <w:t>6 (2 reverse-keyed)</w:t>
            </w:r>
          </w:p>
        </w:tc>
        <w:tc>
          <w:tcPr>
            <w:tcW w:w="3350" w:type="dxa"/>
            <w:shd w:val="clear" w:color="auto" w:fill="F3F5F6"/>
            <w:tcMar>
              <w:top w:w="70" w:type="dxa"/>
              <w:left w:w="110" w:type="dxa"/>
              <w:bottom w:w="70" w:type="dxa"/>
              <w:right w:w="110" w:type="dxa"/>
            </w:tcMar>
            <w:vAlign w:val="center"/>
          </w:tcPr>
          <w:p w14:paraId="1F6A4115" w14:textId="77777777" w:rsidR="00E94315" w:rsidRDefault="00000000">
            <w:pPr>
              <w:jc w:val="center"/>
            </w:pPr>
            <w:r>
              <w:rPr>
                <w:sz w:val="19"/>
                <w:szCs w:val="19"/>
              </w:rPr>
              <w:t>5-pt agreement</w:t>
            </w:r>
          </w:p>
        </w:tc>
        <w:tc>
          <w:tcPr>
            <w:tcW w:w="3160" w:type="dxa"/>
            <w:shd w:val="clear" w:color="auto" w:fill="F3F5F6"/>
            <w:tcMar>
              <w:top w:w="70" w:type="dxa"/>
              <w:left w:w="110" w:type="dxa"/>
              <w:bottom w:w="70" w:type="dxa"/>
              <w:right w:w="110" w:type="dxa"/>
            </w:tcMar>
            <w:vAlign w:val="center"/>
          </w:tcPr>
          <w:p w14:paraId="4A4F7BCD" w14:textId="77777777" w:rsidR="00E94315" w:rsidRDefault="00000000">
            <w:pPr>
              <w:jc w:val="center"/>
            </w:pPr>
            <w:r>
              <w:rPr>
                <w:sz w:val="19"/>
                <w:szCs w:val="19"/>
              </w:rPr>
              <w:t xml:space="preserve">Tiers by pre-set cutpoints on summed score</w:t>
            </w:r>
          </w:p>
        </w:tc>
      </w:tr>
      <w:tr w:rsidR="00E94315" w14:paraId="67BE6C7D" w14:textId="77777777">
        <w:tc>
          <w:tcPr>
            <w:tcW w:w="1100" w:type="dxa"/>
            <w:shd w:val="clear" w:color="auto" w:fill="FFFFFF"/>
            <w:tcMar>
              <w:top w:w="70" w:type="dxa"/>
              <w:left w:w="110" w:type="dxa"/>
              <w:bottom w:w="70" w:type="dxa"/>
              <w:right w:w="110" w:type="dxa"/>
            </w:tcMar>
            <w:vAlign w:val="center"/>
          </w:tcPr>
          <w:p w14:paraId="3A76A6C4" w14:textId="77777777" w:rsidR="00E94315" w:rsidRDefault="00000000">
            <w:r>
              <w:rPr>
                <w:sz w:val="19"/>
                <w:szCs w:val="19"/>
              </w:rPr>
              <w:t>STAY</w:t>
            </w:r>
          </w:p>
        </w:tc>
        <w:tc>
          <w:tcPr>
            <w:tcW w:w="1750" w:type="dxa"/>
            <w:shd w:val="clear" w:color="auto" w:fill="FFFFFF"/>
            <w:tcMar>
              <w:top w:w="70" w:type="dxa"/>
              <w:left w:w="110" w:type="dxa"/>
              <w:bottom w:w="70" w:type="dxa"/>
              <w:right w:w="110" w:type="dxa"/>
            </w:tcMar>
            <w:vAlign w:val="center"/>
          </w:tcPr>
          <w:p w14:paraId="74E87189" w14:textId="77777777" w:rsidR="00E94315" w:rsidRDefault="00000000">
            <w:pPr>
              <w:jc w:val="center"/>
            </w:pPr>
            <w:r>
              <w:rPr>
                <w:sz w:val="19"/>
                <w:szCs w:val="19"/>
              </w:rPr>
              <w:t>3</w:t>
            </w:r>
          </w:p>
        </w:tc>
        <w:tc>
          <w:tcPr>
            <w:tcW w:w="3350" w:type="dxa"/>
            <w:shd w:val="clear" w:color="auto" w:fill="FFFFFF"/>
            <w:tcMar>
              <w:top w:w="70" w:type="dxa"/>
              <w:left w:w="110" w:type="dxa"/>
              <w:bottom w:w="70" w:type="dxa"/>
              <w:right w:w="110" w:type="dxa"/>
            </w:tcMar>
            <w:vAlign w:val="center"/>
          </w:tcPr>
          <w:p w14:paraId="145887CA" w14:textId="77777777" w:rsidR="00E94315" w:rsidRDefault="00000000">
            <w:pPr>
              <w:jc w:val="center"/>
            </w:pPr>
            <w:r>
              <w:rPr>
                <w:sz w:val="19"/>
                <w:szCs w:val="19"/>
              </w:rPr>
              <w:t>5-pt / categorical</w:t>
            </w:r>
          </w:p>
        </w:tc>
        <w:tc>
          <w:tcPr>
            <w:tcW w:w="3160" w:type="dxa"/>
            <w:shd w:val="clear" w:color="auto" w:fill="FFFFFF"/>
            <w:tcMar>
              <w:top w:w="70" w:type="dxa"/>
              <w:left w:w="110" w:type="dxa"/>
              <w:bottom w:w="70" w:type="dxa"/>
              <w:right w:w="110" w:type="dxa"/>
            </w:tcMar>
            <w:vAlign w:val="center"/>
          </w:tcPr>
          <w:p w14:paraId="235DFCF8" w14:textId="77777777" w:rsidR="00E94315" w:rsidRDefault="00000000">
            <w:pPr>
              <w:jc w:val="center"/>
            </w:pPr>
            <w:r>
              <w:rPr>
                <w:sz w:val="19"/>
                <w:szCs w:val="19"/>
              </w:rPr>
              <w:t>STY-01 criterion; Shapley decomposition</w:t>
            </w:r>
          </w:p>
        </w:tc>
      </w:tr>
      <w:tr w:rsidR="00E94315" w14:paraId="18FB1A86" w14:textId="77777777">
        <w:tc>
          <w:tcPr>
            <w:tcW w:w="1100" w:type="dxa"/>
            <w:shd w:val="clear" w:color="auto" w:fill="F3F5F6"/>
            <w:tcMar>
              <w:top w:w="70" w:type="dxa"/>
              <w:left w:w="110" w:type="dxa"/>
              <w:bottom w:w="70" w:type="dxa"/>
              <w:right w:w="110" w:type="dxa"/>
            </w:tcMar>
            <w:vAlign w:val="center"/>
          </w:tcPr>
          <w:p w14:paraId="0F54F2AC" w14:textId="77777777" w:rsidR="00E94315" w:rsidRDefault="00000000">
            <w:r>
              <w:rPr>
                <w:sz w:val="19"/>
                <w:szCs w:val="19"/>
              </w:rPr>
              <w:t>OPEN</w:t>
            </w:r>
          </w:p>
        </w:tc>
        <w:tc>
          <w:tcPr>
            <w:tcW w:w="1750" w:type="dxa"/>
            <w:shd w:val="clear" w:color="auto" w:fill="F3F5F6"/>
            <w:tcMar>
              <w:top w:w="70" w:type="dxa"/>
              <w:left w:w="110" w:type="dxa"/>
              <w:bottom w:w="70" w:type="dxa"/>
              <w:right w:w="110" w:type="dxa"/>
            </w:tcMar>
            <w:vAlign w:val="center"/>
          </w:tcPr>
          <w:p w14:paraId="48EE5C3E" w14:textId="77777777" w:rsidR="00E94315" w:rsidRDefault="00000000">
            <w:pPr>
              <w:jc w:val="center"/>
            </w:pPr>
            <w:r>
              <w:rPr>
                <w:sz w:val="19"/>
                <w:szCs w:val="19"/>
              </w:rPr>
              <w:t>3</w:t>
            </w:r>
          </w:p>
        </w:tc>
        <w:tc>
          <w:tcPr>
            <w:tcW w:w="3350" w:type="dxa"/>
            <w:shd w:val="clear" w:color="auto" w:fill="F3F5F6"/>
            <w:tcMar>
              <w:top w:w="70" w:type="dxa"/>
              <w:left w:w="110" w:type="dxa"/>
              <w:bottom w:w="70" w:type="dxa"/>
              <w:right w:w="110" w:type="dxa"/>
            </w:tcMar>
            <w:vAlign w:val="center"/>
          </w:tcPr>
          <w:p w14:paraId="7B55935B" w14:textId="77777777" w:rsidR="00E94315" w:rsidRDefault="00000000">
            <w:pPr>
              <w:jc w:val="center"/>
            </w:pPr>
            <w:r>
              <w:rPr>
                <w:sz w:val="19"/>
                <w:szCs w:val="19"/>
              </w:rPr>
              <w:t>open text</w:t>
            </w:r>
          </w:p>
        </w:tc>
        <w:tc>
          <w:tcPr>
            <w:tcW w:w="3160" w:type="dxa"/>
            <w:shd w:val="clear" w:color="auto" w:fill="F3F5F6"/>
            <w:tcMar>
              <w:top w:w="70" w:type="dxa"/>
              <w:left w:w="110" w:type="dxa"/>
              <w:bottom w:w="70" w:type="dxa"/>
              <w:right w:w="110" w:type="dxa"/>
            </w:tcMar>
            <w:vAlign w:val="center"/>
          </w:tcPr>
          <w:p w14:paraId="1D030C49" w14:textId="77777777" w:rsidR="00E94315" w:rsidRDefault="00000000">
            <w:pPr>
              <w:jc w:val="center"/>
            </w:pPr>
            <w:r>
              <w:rPr>
                <w:sz w:val="19"/>
                <w:szCs w:val="19"/>
              </w:rPr>
              <w:t>Dual-coder thematic coding, adjudicated</w:t>
            </w:r>
          </w:p>
        </w:tc>
      </w:tr>
    </w:tbl>
    <w:p w14:paraId="39863C62" w14:textId="77777777" w:rsidR="00E94315" w:rsidRDefault="00000000">
      <w:pPr>
        <w:spacing w:after="140"/>
      </w:pPr>
      <w:r>
        <w:rPr>
          <w:b/>
          <w:bCs/>
        </w:rPr>
        <w:t xml:space="preserve">Why 7-point verbalized scales for the GAP matrix: </w:t>
      </w:r>
      <w:r>
        <w:t xml:space="preserve">satisfaction is bipolar — a neutral state is a real position, and forcing a direction manufactures signal; importance is unipolar — the fully labeled midpoint (“moderately important”) is a level, not an escape hatch. An odd scale also yields a stable within-survey median, which defines the quadrant boundaries; on an even scale those boundaries fall between categories and drift between waves. Midpoint share is monitored as a satisficing indicator alongside straightlining.</w:t>
      </w:r>
    </w:p>
    <w:p w14:paraId="6DC75B6F"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B · Screening rules (pre-registered)</w:t>
      </w:r>
    </w:p>
    <w:p w14:paraId="140B9761" w14:textId="77777777" w:rsidR="00E94315" w:rsidRDefault="00000000">
      <w:pPr>
        <w:spacing w:after="140"/>
      </w:pPr>
      <w:r>
        <w:t xml:space="preserve">Speeders: completion &lt; ⅓ of median → flag; sustained &lt; 2 s per item → exclude. Straightliners: zero variance across ≥ 20 consecutive matrix items → flag; combined with speeding → exclude. Attention checks: one per ~50 items (“For data quality purposes, please select ‘Agree’”); one failure → flag, two → exclude. Shared kiosk devices: identical device signatures acceptable by design; response-time clustering reviewed for proxy completion. Funnel: 1,022 → 987 (3.4% excluded), reported by segment in Exhibit 2.</w:t>
      </w:r>
    </w:p>
    <w:p w14:paraId="1BBB26DA"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C · Weighting</w:t>
      </w:r>
    </w:p>
    <w:p w14:paraId="75CE3F07" w14:textId="77777777" w:rsidR="00E94315" w:rsidRDefault="00000000">
      <w:pPr>
        <w:spacing w:after="140"/>
      </w:pPr>
      <w:r>
        <w:t>Rim weighting to payroll records on department × tenure band × role level. Category sets mirror HRIS categories by design, which is what makes payroll weighting possible. Weight range 0.71–1.58; design effect 1.06; effective n = 931. Unweighted results available in the crosstab workbook.</w:t>
      </w:r>
    </w:p>
    <w:p w14:paraId="0454D47A" w14:textId="77777777" w:rsidR="00E94315" w:rsidRDefault="00000000">
      <w:pPr>
        <w:pStyle w:val="Heading2"/>
        <w:spacing w:before="240" w:after="120"/>
      </w:pPr>
      <w:r>
        <w:rPr>
          <w:rFonts w:ascii="Poppins SemiBold" w:eastAsia="Poppins SemiBold" w:hAnsi="Poppins SemiBold" w:cs="Poppins SemiBold"/>
          <w:color w:val="0B1F3A"/>
          <w:sz w:val="24"/>
          <w:szCs w:val="24"/>
        </w:rPr>
        <w:t>Appendix D · Statistical notes</w:t>
      </w:r>
    </w:p>
    <w:p w14:paraId="4567F335" w14:textId="77777777" w:rsidR="00E94315" w:rsidRDefault="00000000">
      <w:pPr>
        <w:spacing w:after="140"/>
      </w:pPr>
      <w:r>
        <w:t xml:space="preserve">Driver model: OLS on standardized predictors, criterion STY-01; R² = 0.47; Shapley decomposition over the 14-predictor set (10 shown, remainder pooled). Full bivariate matrix with Holm-adjusted p-values in the crosstab workbook — omitted from the body per the significance ≠ importance standard. eNPS intervals: Wald 95% on the promoter–detractor difference. Suppression: all cells n &lt; 5.</w:t>
      </w:r>
    </w:p>
    <w:p w14:paraId="3FEA1C82" w14:textId="77777777" w:rsidR="00E94315" w:rsidRDefault="00E94315">
      <w:pPr>
        <w:spacing w:after="300"/>
      </w:pPr>
    </w:p>
    <w:p w14:paraId="1354826B" w14:textId="77777777" w:rsidR="00E94315" w:rsidRDefault="00000000">
      <w:pPr>
        <w:pBdr>
          <w:top w:val="single" w:sz="6" w:space="0" w:color="E2E7EB"/>
        </w:pBdr>
        <w:spacing w:before="120"/>
      </w:pPr>
      <w:r>
        <w:rPr>
          <w:color w:val="5A6B7E"/>
          <w:sz w:val="17"/>
          <w:szCs w:val="17"/>
        </w:rPr>
        <w:lastRenderedPageBreak/>
        <w:t>Measure &amp; Meaning Research · measuremeaning.com · This sample report contains only illustrative, synthetic data and a fictional organization.</w:t>
      </w:r>
    </w:p>
    <w:sectPr w:rsidR="00E94315">
      <w:headerReference w:type="default" r:id="rId17"/>
      <w:footerReference w:type="default" r:id="rId18"/>
      <w:pgSz w:w="12240" w:h="15840"/>
      <w:pgMar w:top="1180" w:right="1440" w:bottom="108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B5FF" w14:textId="77777777" w:rsidR="008B6D1F" w:rsidRDefault="008B6D1F">
      <w:r>
        <w:separator/>
      </w:r>
    </w:p>
  </w:endnote>
  <w:endnote w:type="continuationSeparator" w:id="0">
    <w:p w14:paraId="56B5D978" w14:textId="77777777" w:rsidR="008B6D1F" w:rsidRDefault="008B6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D4A2D15-5362-DA4B-9D58-BEBDB989FA12}"/>
  </w:font>
  <w:font w:name="Inter">
    <w:altName w:val="Cambria"/>
    <w:panose1 w:val="020B0604020202020204"/>
    <w:charset w:val="00"/>
    <w:family w:val="auto"/>
    <w:pitch w:val="default"/>
    <w:embedRegular r:id="rId2" w:fontKey="{9F20FE18-241F-E241-954B-68EE2D65502F}"/>
    <w:embedBold r:id="rId3" w:fontKey="{99B5220C-779A-8C46-BBFF-3933AC69A1DF}"/>
    <w:embedItalic r:id="rId4" w:fontKey="{33FDA007-9EDF-9945-818F-FA9DA7DD2CFC}"/>
  </w:font>
  <w:font w:name="Courier New">
    <w:panose1 w:val="02070309020205020404"/>
    <w:charset w:val="00"/>
    <w:family w:val="modern"/>
    <w:pitch w:val="fixed"/>
    <w:sig w:usb0="E0002AFF" w:usb1="C0007843" w:usb2="00000009" w:usb3="00000000" w:csb0="000001FF" w:csb1="00000000"/>
    <w:embedRegular r:id="rId5" w:fontKey="{77E85B38-C27B-7641-97E9-79E5B95B5EFB}"/>
  </w:font>
  <w:font w:name="Times New Roman">
    <w:panose1 w:val="02020603050405020304"/>
    <w:charset w:val="00"/>
    <w:family w:val="roman"/>
    <w:pitch w:val="variable"/>
    <w:sig w:usb0="E0002EFF" w:usb1="C000785B" w:usb2="00000009" w:usb3="00000000" w:csb0="000001FF" w:csb1="00000000"/>
    <w:embedRegular r:id="rId6" w:fontKey="{5AB13D48-4180-2743-9B2D-D1460EAFB32A}"/>
  </w:font>
  <w:font w:name="Wingdings">
    <w:panose1 w:val="05000000000000000000"/>
    <w:charset w:val="00"/>
    <w:family w:val="decorative"/>
    <w:pitch w:val="variable"/>
    <w:sig w:usb0="00000003" w:usb1="00000000" w:usb2="00000000" w:usb3="00000000" w:csb0="80000001" w:csb1="00000000"/>
    <w:embedRegular r:id="rId7" w:fontKey="{BE798C31-5E60-674E-8DC4-DF8BB374F921}"/>
  </w:font>
  <w:font w:name="Georgia">
    <w:panose1 w:val="02040502050405020303"/>
    <w:charset w:val="00"/>
    <w:family w:val="roman"/>
    <w:pitch w:val="variable"/>
    <w:sig w:usb0="00000287" w:usb1="00000000" w:usb2="00000000" w:usb3="00000000" w:csb0="0000009F" w:csb1="00000000"/>
    <w:embedItalic r:id="rId8" w:fontKey="{40BEFE07-ACE1-B244-A467-491DF3461F7E}"/>
  </w:font>
  <w:font w:name="Poppins SemiBold">
    <w:panose1 w:val="00000700000000000000"/>
    <w:charset w:val="4D"/>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9" w:fontKey="{987147C4-054E-474C-B16E-8CC3AA3557FD}"/>
  </w:font>
  <w:font w:name="Cambria">
    <w:panose1 w:val="02040503050406030204"/>
    <w:charset w:val="00"/>
    <w:family w:val="roman"/>
    <w:pitch w:val="variable"/>
    <w:sig w:usb0="E00002FF" w:usb1="400004FF" w:usb2="00000000" w:usb3="00000000" w:csb0="0000019F" w:csb1="00000000"/>
    <w:embedRegular r:id="rId10" w:fontKey="{0848DCAF-6298-8B44-B676-81D057CD961E}"/>
  </w:font>
  <w:font w:name="Arial">
    <w:panose1 w:val="020B0604020202020204"/>
    <w:charset w:val="00"/>
    <w:family w:val="swiss"/>
    <w:pitch w:val="variable"/>
    <w:sig w:usb0="E0002AFF" w:usb1="C0007843" w:usb2="00000009" w:usb3="00000000" w:csb0="000001FF" w:csb1="00000000"/>
    <w:embedRegular r:id="rId11" w:fontKey="{2059C45B-D2BE-1D4B-ABC0-94D6176F35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8BB3" w14:textId="3C981B20" w:rsidR="00E94315" w:rsidRDefault="00000000">
    <w:pPr>
      <w:tabs>
        <w:tab w:val="right" w:pos="9360"/>
      </w:tabs>
    </w:pPr>
    <w:r>
      <w:fldChar w:fldCharType="begin"/>
    </w:r>
    <w:r>
      <w:instrText>PAGE</w:instrText>
    </w:r>
    <w:r>
      <w:fldChar w:fldCharType="separate"/>
    </w:r>
    <w:r w:rsidR="0098286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CC34" w14:textId="77777777" w:rsidR="008B6D1F" w:rsidRDefault="008B6D1F">
      <w:r>
        <w:separator/>
      </w:r>
    </w:p>
  </w:footnote>
  <w:footnote w:type="continuationSeparator" w:id="0">
    <w:p w14:paraId="38EE2CD1" w14:textId="77777777" w:rsidR="008B6D1F" w:rsidRDefault="008B6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41E8" w14:textId="644284C9" w:rsidR="00E94315" w:rsidRDefault="00982863">
    <w:pPr>
      <w:pBdr>
        <w:bottom w:val="single" w:sz="4" w:space="0" w:color="E2E7EB"/>
      </w:pBdr>
      <w:tabs>
        <w:tab w:val="right" w:pos="9360"/>
      </w:tabs>
    </w:pPr>
    <w:r>
      <w:rPr>
        <w:rFonts w:ascii="Poppins SemiBold" w:eastAsia="Poppins SemiBold" w:hAnsi="Poppins SemiBold" w:cs="Poppins SemiBold"/>
        <w:noProof/>
        <w:color w:val="0B7472"/>
        <w:sz w:val="14"/>
        <w:szCs w:val="14"/>
      </w:rPr>
      <w:drawing>
        <wp:inline distT="0" distB="0" distL="0" distR="0" wp14:anchorId="5C2A57BC" wp14:editId="67738257">
          <wp:extent cx="223365" cy="223365"/>
          <wp:effectExtent l="0" t="0" r="5715" b="5715"/>
          <wp:docPr id="1786187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7945" name="Picture 1786187945"/>
                  <pic:cNvPicPr/>
                </pic:nvPicPr>
                <pic:blipFill>
                  <a:blip r:embed="rId1">
                    <a:extLst>
                      <a:ext uri="{28A0092B-C50C-407E-A947-70E740481C1C}">
                        <a14:useLocalDpi xmlns:a14="http://schemas.microsoft.com/office/drawing/2010/main" val="0"/>
                      </a:ext>
                    </a:extLst>
                  </a:blip>
                  <a:stretch>
                    <a:fillRect/>
                  </a:stretch>
                </pic:blipFill>
                <pic:spPr>
                  <a:xfrm>
                    <a:off x="0" y="0"/>
                    <a:ext cx="223365" cy="223365"/>
                  </a:xfrm>
                  <a:prstGeom prst="rect">
                    <a:avLst/>
                  </a:prstGeom>
                </pic:spPr>
              </pic:pic>
            </a:graphicData>
          </a:graphic>
        </wp:inline>
      </w:drawing>
    </w:r>
    <w:r>
      <w:rPr>
        <w:rFonts w:ascii="Poppins SemiBold" w:eastAsia="Poppins SemiBold" w:hAnsi="Poppins SemiBold" w:cs="Poppins SemiBold"/>
        <w:color w:val="0B7472"/>
        <w:sz w:val="14"/>
        <w:szCs w:val="14"/>
      </w:rPr>
      <w:t xml:space="preserve"> </w:t>
    </w:r>
    <w:r w:rsidR="00000000">
      <w:rPr>
        <w:rFonts w:ascii="Poppins SemiBold" w:eastAsia="Poppins SemiBold" w:hAnsi="Poppins SemiBold" w:cs="Poppins SemiBold"/>
        <w:color w:val="0B7472"/>
        <w:sz w:val="14"/>
        <w:szCs w:val="14"/>
      </w:rPr>
      <w:t>MEASURE &amp; MEANING RESEARCH</w:t>
    </w:r>
    <w:r>
      <w:rPr>
        <w:rFonts w:ascii="Poppins SemiBold" w:eastAsia="Poppins SemiBold" w:hAnsi="Poppins SemiBold" w:cs="Poppins SemiBold"/>
        <w:color w:val="0B7472"/>
        <w:sz w:val="14"/>
        <w:szCs w:val="14"/>
      </w:rPr>
      <w:t xml:space="preserve"> </w:t>
    </w:r>
    <w:r w:rsidR="00000000">
      <w:rPr>
        <w:color w:val="C7402F"/>
        <w:sz w:val="14"/>
        <w:szCs w:val="14"/>
      </w:rPr>
      <w:t>SAMPLE — illustrative, synthetic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91F7F"/>
    <w:multiLevelType w:val="hybridMultilevel"/>
    <w:tmpl w:val="0EF2A75C"/>
    <w:lvl w:ilvl="0" w:tplc="F7307ED4">
      <w:start w:val="2"/>
      <w:numFmt w:val="bullet"/>
      <w:lvlText w:val=""/>
      <w:lvlJc w:val="left"/>
      <w:pPr>
        <w:ind w:left="720" w:hanging="360"/>
      </w:pPr>
      <w:rPr>
        <w:rFonts w:ascii="Symbol" w:eastAsia="Inter" w:hAnsi="Symbol" w:cs="Inter"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5F5C01"/>
    <w:multiLevelType w:val="multilevel"/>
    <w:tmpl w:val="DB6A2F5E"/>
    <w:lvl w:ilvl="0">
      <w:start w:val="1"/>
      <w:numFmt w:val="bullet"/>
      <w:lvlText w:val="—"/>
      <w:lvlJc w:val="left"/>
      <w:pPr>
        <w:ind w:left="360" w:hanging="240"/>
      </w:pPr>
      <w:rPr>
        <w:color w:val="0B747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24552781">
    <w:abstractNumId w:val="1"/>
  </w:num>
  <w:num w:numId="2" w16cid:durableId="31503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315"/>
    <w:rsid w:val="00181D55"/>
    <w:rsid w:val="00465909"/>
    <w:rsid w:val="005178D2"/>
    <w:rsid w:val="00804A17"/>
    <w:rsid w:val="008B6D1F"/>
    <w:rsid w:val="00982863"/>
    <w:rsid w:val="00B47615"/>
    <w:rsid w:val="00B7108D"/>
    <w:rsid w:val="00C55443"/>
    <w:rsid w:val="00E94315"/>
    <w:rsid w:val="00F063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90053B6"/>
  <w15:docId w15:val="{76B0AB12-0AE6-3846-8888-118834CD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0B1F3A"/>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82863"/>
    <w:pPr>
      <w:tabs>
        <w:tab w:val="center" w:pos="4680"/>
        <w:tab w:val="right" w:pos="9360"/>
      </w:tabs>
    </w:pPr>
  </w:style>
  <w:style w:type="character" w:customStyle="1" w:styleId="HeaderChar">
    <w:name w:val="Header Char"/>
    <w:basedOn w:val="DefaultParagraphFont"/>
    <w:link w:val="Header"/>
    <w:uiPriority w:val="99"/>
    <w:rsid w:val="00982863"/>
  </w:style>
  <w:style w:type="paragraph" w:styleId="Footer">
    <w:name w:val="footer"/>
    <w:basedOn w:val="Normal"/>
    <w:link w:val="FooterChar"/>
    <w:uiPriority w:val="99"/>
    <w:unhideWhenUsed/>
    <w:rsid w:val="00982863"/>
    <w:pPr>
      <w:tabs>
        <w:tab w:val="center" w:pos="4680"/>
        <w:tab w:val="right" w:pos="9360"/>
      </w:tabs>
    </w:pPr>
  </w:style>
  <w:style w:type="character" w:customStyle="1" w:styleId="FooterChar">
    <w:name w:val="Footer Char"/>
    <w:basedOn w:val="DefaultParagraphFont"/>
    <w:link w:val="Footer"/>
    <w:uiPriority w:val="99"/>
    <w:rsid w:val="00982863"/>
  </w:style>
  <w:style w:type="paragraph" w:styleId="ListParagraph">
    <w:name w:val="List Paragraph"/>
    <w:basedOn w:val="Normal"/>
    <w:uiPriority w:val="34"/>
    <w:qFormat/>
    <w:rsid w:val="00465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Aktur</cp:lastModifiedBy>
  <cp:revision>2</cp:revision>
  <dcterms:created xsi:type="dcterms:W3CDTF">2026-07-19T22:11:00Z</dcterms:created>
  <dcterms:modified xsi:type="dcterms:W3CDTF">2026-07-19T22:11:00Z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8a1af554a5865ff4f9554b9549eed17a0402ce2f3b06feb7da553b00860d7ae2</vt:lpwstr>
  </property>
</Properties>
</file>