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aps/>
          <w:color w:val="808080"/>
          <w:sz w:val="18"/>
          <w:szCs w:val="18"/>
        </w:rPr>
        <w:t xml:space="preserve">ALE GREEN – document intern</w:t>
      </w:r>
    </w:p>
    <w:p>
      <w:pPr>
        <w:spacing w:after="60"/>
      </w:pPr>
      <w:r>
        <w:rPr>
          <w:rFonts w:ascii="Calibri" w:cs="Calibri" w:eastAsia="Calibri" w:hAnsi="Calibri"/>
          <w:b/>
          <w:bCs/>
          <w:color w:val="1F4E79"/>
          <w:sz w:val="36"/>
          <w:szCs w:val="36"/>
        </w:rPr>
        <w:t xml:space="preserve">Reguli de colectare și metodologia de alocare a deșeurilor EEE</w:t>
      </w:r>
    </w:p>
    <w:p>
      <w:pPr>
        <w:pBdr>
          <w:bottom w:val="single" w:color="1F4E79" w:sz="8" w:space="6"/>
        </w:pBdr>
        <w:spacing w:after="320"/>
      </w:pPr>
      <w:r>
        <w:rPr>
          <w:rFonts w:ascii="Calibri" w:cs="Calibri" w:eastAsia="Calibri" w:hAnsi="Calibri"/>
          <w:color w:val="595959"/>
          <w:sz w:val="19"/>
          <w:szCs w:val="19"/>
        </w:rPr>
        <w:t xml:space="preserve">Versiunea 1.0 · 1 septembrie 2026 · obiectiv 65% din media pe 3 ani → 21,67% în 2026 · perioadă analizată: februarie – august 2026</w:t>
      </w:r>
    </w:p>
    <w:p>
      <w:pPr>
        <w:pStyle w:val="Heading1"/>
        <w:spacing w:after="140" w:before="320"/>
      </w:pPr>
      <w:r>
        <w:rPr>
          <w:rFonts w:ascii="Calibri" w:cs="Calibri" w:eastAsia="Calibri" w:hAnsi="Calibri"/>
          <w:b/>
          <w:bCs/>
          <w:color w:val="1F4E79"/>
          <w:sz w:val="30"/>
          <w:szCs w:val="30"/>
        </w:rPr>
        <w:t xml:space="preserve">1. Scopul documentului</w:t>
      </w:r>
    </w:p>
    <w:p>
      <w:pPr>
        <w:spacing w:after="120" w:before="0"/>
      </w:pPr>
      <w:r>
        <w:rPr>
          <w:rFonts w:ascii="Calibri" w:cs="Calibri" w:eastAsia="Calibri" w:hAnsi="Calibri"/>
          <w:sz w:val="21"/>
          <w:szCs w:val="21"/>
        </w:rPr>
        <w:t xml:space="preserve">Documentul descrie regulile după care se stabilește obligația anuală de colectare a deșeurilor de echipamente electrice și electronice (DEEE) pentru clienții din portofoliu și metodologia prin care cantitățile efectiv colectate se alocă pe categorii și, mai departe, pe fiecare client. Este un document de uz intern: conține atât regulile de fond, cât și algoritmul de calcul implementat în fișierul Excel de lucru.</w:t>
      </w:r>
    </w:p>
    <w:p>
      <w:pPr>
        <w:pStyle w:val="Heading1"/>
        <w:spacing w:after="140" w:before="320"/>
      </w:pPr>
      <w:r>
        <w:rPr>
          <w:rFonts w:ascii="Calibri" w:cs="Calibri" w:eastAsia="Calibri" w:hAnsi="Calibri"/>
          <w:b/>
          <w:bCs/>
          <w:color w:val="1F4E79"/>
          <w:sz w:val="30"/>
          <w:szCs w:val="30"/>
        </w:rPr>
        <w:t xml:space="preserve">2. Noțiuni de bază</w:t>
      </w:r>
    </w:p>
    <w:p>
      <w:pPr>
        <w:spacing w:after="120" w:before="0"/>
      </w:pPr>
      <w:r>
        <w:rPr>
          <w:rFonts w:ascii="Calibri" w:cs="Calibri" w:eastAsia="Calibri" w:hAnsi="Calibri"/>
          <w:b/>
          <w:bCs/>
          <w:sz w:val="21"/>
          <w:szCs w:val="21"/>
        </w:rPr>
        <w:t xml:space="preserve">Cantitate declarată</w:t>
      </w:r>
      <w:r>
        <w:rPr>
          <w:rFonts w:ascii="Calibri" w:cs="Calibri" w:eastAsia="Calibri" w:hAnsi="Calibri"/>
          <w:sz w:val="21"/>
          <w:szCs w:val="21"/>
        </w:rPr>
        <w:t xml:space="preserve"> – greutatea echipamentelor puse pe piață de client, raportată lunar, pe categorie și subcategorie. Este baza de calcul a obligației.</w:t>
      </w:r>
    </w:p>
    <w:p>
      <w:pPr>
        <w:spacing w:after="120" w:before="0"/>
      </w:pPr>
      <w:r>
        <w:rPr>
          <w:rFonts w:ascii="Calibri" w:cs="Calibri" w:eastAsia="Calibri" w:hAnsi="Calibri"/>
          <w:b/>
          <w:bCs/>
          <w:sz w:val="21"/>
          <w:szCs w:val="21"/>
        </w:rPr>
        <w:t xml:space="preserve">Obligație de colectare</w:t>
      </w:r>
      <w:r>
        <w:rPr>
          <w:rFonts w:ascii="Calibri" w:cs="Calibri" w:eastAsia="Calibri" w:hAnsi="Calibri"/>
          <w:sz w:val="21"/>
          <w:szCs w:val="21"/>
        </w:rPr>
        <w:t xml:space="preserve"> – cantitatea de deșeuri pe care clientul trebuie să o colecteze într-un an, calculată ca procent din cantitatea declarată.</w:t>
      </w:r>
    </w:p>
    <w:p>
      <w:pPr>
        <w:spacing w:after="120" w:before="0"/>
      </w:pPr>
      <w:r>
        <w:rPr>
          <w:rFonts w:ascii="Calibri" w:cs="Calibri" w:eastAsia="Calibri" w:hAnsi="Calibri"/>
          <w:b/>
          <w:bCs/>
          <w:sz w:val="21"/>
          <w:szCs w:val="21"/>
        </w:rPr>
        <w:t xml:space="preserve">Cantitate colectată</w:t>
      </w:r>
      <w:r>
        <w:rPr>
          <w:rFonts w:ascii="Calibri" w:cs="Calibri" w:eastAsia="Calibri" w:hAnsi="Calibri"/>
          <w:sz w:val="21"/>
          <w:szCs w:val="21"/>
        </w:rPr>
        <w:t xml:space="preserve"> – deșeurile efectiv colectate și raportate, pe categorii, cumulat pe lunile anului.</w:t>
      </w:r>
    </w:p>
    <w:p>
      <w:pPr>
        <w:spacing w:after="120" w:before="0"/>
      </w:pPr>
      <w:r>
        <w:rPr>
          <w:rFonts w:ascii="Calibri" w:cs="Calibri" w:eastAsia="Calibri" w:hAnsi="Calibri"/>
          <w:b/>
          <w:bCs/>
          <w:sz w:val="21"/>
          <w:szCs w:val="21"/>
        </w:rPr>
        <w:t xml:space="preserve">Alocare</w:t>
      </w:r>
      <w:r>
        <w:rPr>
          <w:rFonts w:ascii="Calibri" w:cs="Calibri" w:eastAsia="Calibri" w:hAnsi="Calibri"/>
          <w:sz w:val="21"/>
          <w:szCs w:val="21"/>
        </w:rPr>
        <w:t xml:space="preserve"> – repartizarea cantităților colectate pe categorii de obligație și apoi pe clienți, cu respectarea regulilor de substituție între categorii.</w:t>
      </w:r>
    </w:p>
    <w:p>
      <w:pPr>
        <w:pStyle w:val="Heading1"/>
        <w:spacing w:after="140" w:before="320"/>
      </w:pPr>
      <w:r>
        <w:rPr>
          <w:rFonts w:ascii="Calibri" w:cs="Calibri" w:eastAsia="Calibri" w:hAnsi="Calibri"/>
          <w:b/>
          <w:bCs/>
          <w:color w:val="1F4E79"/>
          <w:sz w:val="30"/>
          <w:szCs w:val="30"/>
        </w:rPr>
        <w:t xml:space="preserve">3. Obiectivul anual de colectare</w:t>
      </w:r>
    </w:p>
    <w:p>
      <w:pPr>
        <w:spacing w:after="120" w:before="0"/>
      </w:pPr>
      <w:r>
        <w:rPr>
          <w:rFonts w:ascii="Calibri" w:cs="Calibri" w:eastAsia="Calibri" w:hAnsi="Calibri"/>
          <w:sz w:val="21"/>
          <w:szCs w:val="21"/>
        </w:rPr>
        <w:t xml:space="preserve">Obiectivul legal de colectare este de </w:t>
      </w:r>
      <w:r>
        <w:rPr>
          <w:rFonts w:ascii="Calibri" w:cs="Calibri" w:eastAsia="Calibri" w:hAnsi="Calibri"/>
          <w:b/>
          <w:bCs/>
          <w:sz w:val="21"/>
          <w:szCs w:val="21"/>
        </w:rPr>
        <w:t xml:space="preserve">65% din media cantităților puse pe piață în ultimii trei ani</w:t>
      </w:r>
      <w:r>
        <w:rPr>
          <w:rFonts w:ascii="Calibri" w:cs="Calibri" w:eastAsia="Calibri" w:hAnsi="Calibri"/>
          <w:sz w:val="21"/>
          <w:szCs w:val="21"/>
        </w:rPr>
        <w:t xml:space="preserve">. Baza de calcul nu este, așadar, declarația anului curent, ci media unei perioade de referință de trei ani:</w:t>
      </w:r>
    </w:p>
    <w:p>
      <w:pPr>
        <w:shd w:fill="DCE6F1" w:color="auto" w:val="clear"/>
        <w:spacing w:after="160" w:before="80"/>
        <w:jc w:val="center"/>
      </w:pPr>
      <w:r>
        <w:rPr>
          <w:rFonts w:ascii="Calibri" w:cs="Calibri" w:eastAsia="Calibri" w:hAnsi="Calibri"/>
          <w:b/>
          <w:bCs/>
          <w:color w:val="1F4E79"/>
          <w:sz w:val="22"/>
          <w:szCs w:val="22"/>
        </w:rPr>
        <w:t xml:space="preserve">Obligație = 65% × (Declarat an-1 + Declarat an-2 + Declarat an-3) ÷ 3</w:t>
      </w:r>
    </w:p>
    <w:p>
      <w:pPr>
        <w:spacing w:after="120" w:before="0"/>
      </w:pPr>
      <w:r>
        <w:rPr>
          <w:rFonts w:ascii="Calibri" w:cs="Calibri" w:eastAsia="Calibri" w:hAnsi="Calibri"/>
          <w:sz w:val="21"/>
          <w:szCs w:val="21"/>
        </w:rPr>
        <w:t xml:space="preserve">În situația noastră </w:t>
      </w:r>
      <w:r>
        <w:rPr>
          <w:rFonts w:ascii="Calibri" w:cs="Calibri" w:eastAsia="Calibri" w:hAnsi="Calibri"/>
          <w:b/>
          <w:bCs/>
          <w:sz w:val="21"/>
          <w:szCs w:val="21"/>
        </w:rPr>
        <w:t xml:space="preserve">2026 este singurul an de referință cu date</w:t>
      </w:r>
      <w:r>
        <w:rPr>
          <w:rFonts w:ascii="Calibri" w:cs="Calibri" w:eastAsia="Calibri" w:hAnsi="Calibri"/>
          <w:sz w:val="21"/>
          <w:szCs w:val="21"/>
        </w:rPr>
        <w:t xml:space="preserve">; ceilalți doi ani intră în medie cu valoarea zero. Media se împarte în continuare la trei, astfel încât obligația devine:</w:t>
      </w:r>
    </w:p>
    <w:p>
      <w:pPr>
        <w:shd w:fill="DCE6F1" w:color="auto" w:val="clear"/>
        <w:spacing w:after="160" w:before="80"/>
        <w:jc w:val="center"/>
      </w:pPr>
      <w:r>
        <w:rPr>
          <w:rFonts w:ascii="Calibri" w:cs="Calibri" w:eastAsia="Calibri" w:hAnsi="Calibri"/>
          <w:b/>
          <w:bCs/>
          <w:color w:val="1F4E79"/>
          <w:sz w:val="22"/>
          <w:szCs w:val="22"/>
        </w:rPr>
        <w:t xml:space="preserve">Obligație = 65% × Declarat 2026 ÷ 3 = 21,67% × Declarat 2026</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2400"/>
        <w:gridCol w:w="3360"/>
      </w:tblGrid>
      <w:tr>
        <w:trPr>
          <w:cantSplit/>
          <w:tblHeader/>
        </w:trPr>
        <w:tc>
          <w:tcPr>
            <w:tcW w:type="dxa" w:w="360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Element</w:t>
            </w:r>
          </w:p>
        </w:tc>
        <w:tc>
          <w:tcPr>
            <w:tcW w:type="dxa" w:w="240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Valoare</w:t>
            </w:r>
          </w:p>
        </w:tc>
        <w:tc>
          <w:tcPr>
            <w:tcW w:type="dxa" w:w="336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Explicație</w:t>
            </w:r>
          </w:p>
        </w:tc>
      </w:tr>
      <w:tr>
        <w:trPr>
          <w:cantSplit/>
        </w:trPr>
        <w:tc>
          <w:tcPr>
            <w:tcW w:type="dxa" w:w="3600"/>
            <w:tcMar>
              <w:top w:type="dxa" w:w="60"/>
              <w:left w:type="dxa" w:w="100"/>
              <w:bottom w:type="dxa" w:w="60"/>
              <w:right w:type="dxa" w:w="100"/>
            </w:tcMar>
          </w:tcPr>
          <w:p>
            <w:pPr>
              <w:spacing w:after="0"/>
              <w:jc w:val="left"/>
            </w:pPr>
            <w:r>
              <w:rPr>
                <w:rFonts w:ascii="Calibri" w:cs="Calibri" w:eastAsia="Calibri" w:hAnsi="Calibri"/>
                <w:sz w:val="19"/>
                <w:szCs w:val="19"/>
              </w:rPr>
              <w:t xml:space="preserve">Obiectiv legal de colectare</w:t>
            </w:r>
          </w:p>
        </w:tc>
        <w:tc>
          <w:tcPr>
            <w:tcW w:type="dxa" w:w="2400"/>
            <w:tcMar>
              <w:top w:type="dxa" w:w="60"/>
              <w:left w:type="dxa" w:w="100"/>
              <w:bottom w:type="dxa" w:w="60"/>
              <w:right w:type="dxa" w:w="100"/>
            </w:tcMar>
          </w:tcPr>
          <w:p>
            <w:pPr>
              <w:spacing w:after="0"/>
              <w:jc w:val="right"/>
            </w:pPr>
            <w:r>
              <w:rPr>
                <w:rFonts w:ascii="Calibri" w:cs="Calibri" w:eastAsia="Calibri" w:hAnsi="Calibri"/>
                <w:sz w:val="19"/>
                <w:szCs w:val="19"/>
              </w:rPr>
              <w:t xml:space="preserve">65%</w:t>
            </w:r>
          </w:p>
        </w:tc>
        <w:tc>
          <w:tcPr>
            <w:tcW w:type="dxa" w:w="3360"/>
            <w:tcMar>
              <w:top w:type="dxa" w:w="60"/>
              <w:left w:type="dxa" w:w="100"/>
              <w:bottom w:type="dxa" w:w="60"/>
              <w:right w:type="dxa" w:w="100"/>
            </w:tcMar>
          </w:tcPr>
          <w:p>
            <w:pPr>
              <w:spacing w:after="0"/>
              <w:jc w:val="left"/>
            </w:pPr>
            <w:r>
              <w:rPr>
                <w:rFonts w:ascii="Calibri" w:cs="Calibri" w:eastAsia="Calibri" w:hAnsi="Calibri"/>
                <w:sz w:val="19"/>
                <w:szCs w:val="19"/>
              </w:rPr>
              <w:t xml:space="preserve">Procent aplicat mediei pe trei ani.</w:t>
            </w:r>
          </w:p>
        </w:tc>
      </w:tr>
      <w:tr>
        <w:trPr>
          <w:cantSplit/>
        </w:trPr>
        <w:tc>
          <w:tcPr>
            <w:tcW w:type="dxa" w:w="36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Ani în perioada de referință</w:t>
            </w:r>
          </w:p>
        </w:tc>
        <w:tc>
          <w:tcPr>
            <w:tcW w:type="dxa" w:w="24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3</w:t>
            </w:r>
          </w:p>
        </w:tc>
        <w:tc>
          <w:tcPr>
            <w:tcW w:type="dxa" w:w="336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2024, 2025 și 2026.</w:t>
            </w:r>
          </w:p>
        </w:tc>
      </w:tr>
      <w:tr>
        <w:trPr>
          <w:cantSplit/>
        </w:trPr>
        <w:tc>
          <w:tcPr>
            <w:tcW w:type="dxa" w:w="3600"/>
            <w:tcMar>
              <w:top w:type="dxa" w:w="60"/>
              <w:left w:type="dxa" w:w="100"/>
              <w:bottom w:type="dxa" w:w="60"/>
              <w:right w:type="dxa" w:w="100"/>
            </w:tcMar>
          </w:tcPr>
          <w:p>
            <w:pPr>
              <w:spacing w:after="0"/>
              <w:jc w:val="left"/>
            </w:pPr>
            <w:r>
              <w:rPr>
                <w:rFonts w:ascii="Calibri" w:cs="Calibri" w:eastAsia="Calibri" w:hAnsi="Calibri"/>
                <w:sz w:val="19"/>
                <w:szCs w:val="19"/>
              </w:rPr>
              <w:t xml:space="preserve">Ani cu cantități declarate</w:t>
            </w:r>
          </w:p>
        </w:tc>
        <w:tc>
          <w:tcPr>
            <w:tcW w:type="dxa" w:w="2400"/>
            <w:tcMar>
              <w:top w:type="dxa" w:w="60"/>
              <w:left w:type="dxa" w:w="100"/>
              <w:bottom w:type="dxa" w:w="60"/>
              <w:right w:type="dxa" w:w="100"/>
            </w:tcMar>
          </w:tcPr>
          <w:p>
            <w:pPr>
              <w:spacing w:after="0"/>
              <w:jc w:val="right"/>
            </w:pPr>
            <w:r>
              <w:rPr>
                <w:rFonts w:ascii="Calibri" w:cs="Calibri" w:eastAsia="Calibri" w:hAnsi="Calibri"/>
                <w:sz w:val="19"/>
                <w:szCs w:val="19"/>
              </w:rPr>
              <w:t xml:space="preserve">1</w:t>
            </w:r>
          </w:p>
        </w:tc>
        <w:tc>
          <w:tcPr>
            <w:tcW w:type="dxa" w:w="3360"/>
            <w:tcMar>
              <w:top w:type="dxa" w:w="60"/>
              <w:left w:type="dxa" w:w="100"/>
              <w:bottom w:type="dxa" w:w="60"/>
              <w:right w:type="dxa" w:w="100"/>
            </w:tcMar>
          </w:tcPr>
          <w:p>
            <w:pPr>
              <w:spacing w:after="0"/>
              <w:jc w:val="left"/>
            </w:pPr>
            <w:r>
              <w:rPr>
                <w:rFonts w:ascii="Calibri" w:cs="Calibri" w:eastAsia="Calibri" w:hAnsi="Calibri"/>
                <w:sz w:val="19"/>
                <w:szCs w:val="19"/>
              </w:rPr>
              <w:t xml:space="preserve">Doar 2026; ceilalți doi intră cu zero.</w:t>
            </w:r>
          </w:p>
        </w:tc>
      </w:tr>
      <w:tr>
        <w:trPr>
          <w:cantSplit/>
        </w:trPr>
        <w:tc>
          <w:tcPr>
            <w:tcW w:type="dxa" w:w="36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Rată efectivă pe declarația 2026</w:t>
            </w:r>
          </w:p>
        </w:tc>
        <w:tc>
          <w:tcPr>
            <w:tcW w:type="dxa" w:w="24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c>
          <w:tcPr>
            <w:tcW w:type="dxa" w:w="336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65% ÷ 3 = 21,6667%, rotunjit la 21,67%.</w:t>
            </w:r>
          </w:p>
        </w:tc>
      </w:tr>
    </w:tbl>
    <w:p>
      <w:pPr>
        <w:spacing w:after="120" w:before="140"/>
      </w:pPr>
      <w:r>
        <w:rPr>
          <w:rFonts w:ascii="Calibri" w:cs="Calibri" w:eastAsia="Calibri" w:hAnsi="Calibri"/>
          <w:sz w:val="21"/>
          <w:szCs w:val="21"/>
        </w:rPr>
        <w:t xml:space="preserve">O cantitate declarată rămâne în fereastra de referință trei ani consecutivi și generează în fiecare dintre acești ani o obligație de 21,67% din ea; cumulat pe cei trei ani, clientul ajunge exact la cele 65% cerute de lege. Rata efectivă se aplică uniform la nivelul fiecărei categorii de echipamente, deci obligația totală a unui client este tot 21,67% din totalul declarat de acesta. Pe măsură ce se acumulează ani de referință cu date, rata efectivă aplicată declarației anului curent se modifică — în fișierul de lucru este parametrizată în celula C3 din foaia „Alocare colectat", iar o modificare a ei recalculează automat întregul model.</w:t>
      </w:r>
    </w:p>
    <w:p>
      <w:pPr>
        <w:pStyle w:val="Heading1"/>
        <w:spacing w:after="140" w:before="320"/>
      </w:pPr>
      <w:r>
        <w:rPr>
          <w:rFonts w:ascii="Calibri" w:cs="Calibri" w:eastAsia="Calibri" w:hAnsi="Calibri"/>
          <w:b/>
          <w:bCs/>
          <w:color w:val="1F4E79"/>
          <w:sz w:val="30"/>
          <w:szCs w:val="30"/>
        </w:rPr>
        <w:t xml:space="preserve">4. Regulile de îndeplinire pe categorii</w:t>
      </w:r>
    </w:p>
    <w:p>
      <w:pPr>
        <w:spacing w:after="120" w:before="0"/>
      </w:pPr>
      <w:r>
        <w:rPr>
          <w:rFonts w:ascii="Calibri" w:cs="Calibri" w:eastAsia="Calibri" w:hAnsi="Calibri"/>
          <w:sz w:val="21"/>
          <w:szCs w:val="21"/>
        </w:rPr>
        <w:t xml:space="preserve">Obligația unei categorii nu se acoperă întotdeauna exclusiv cu deșeuri din aceeași categorie. Regulile de substituție sunt următoarele: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1700"/>
        <w:gridCol w:w="1700"/>
        <w:gridCol w:w="3060"/>
      </w:tblGrid>
      <w:tr>
        <w:trPr>
          <w:cantSplit/>
          <w:tblHeader/>
        </w:trPr>
        <w:tc>
          <w:tcPr>
            <w:tcW w:type="dxa" w:w="290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Categorie</w:t>
            </w:r>
          </w:p>
        </w:tc>
        <w:tc>
          <w:tcPr>
            <w:tcW w:type="dxa" w:w="170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Min. din categoria proprie</w:t>
            </w:r>
          </w:p>
        </w:tc>
        <w:tc>
          <w:tcPr>
            <w:tcW w:type="dxa" w:w="170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Poate fi din orice categorie</w:t>
            </w:r>
          </w:p>
        </w:tc>
        <w:tc>
          <w:tcPr>
            <w:tcW w:type="dxa" w:w="306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Observații</w:t>
            </w:r>
          </w:p>
        </w:tc>
      </w:tr>
      <w:tr>
        <w:trPr>
          <w:cantSplit/>
        </w:trPr>
        <w:tc>
          <w:tcPr>
            <w:tcW w:type="dxa" w:w="2900"/>
            <w:tcMar>
              <w:top w:type="dxa" w:w="60"/>
              <w:left w:type="dxa" w:w="100"/>
              <w:bottom w:type="dxa" w:w="60"/>
              <w:right w:type="dxa" w:w="100"/>
            </w:tcMar>
          </w:tcPr>
          <w:p>
            <w:pPr>
              <w:spacing w:after="0"/>
              <w:jc w:val="left"/>
            </w:pPr>
            <w:r>
              <w:rPr>
                <w:rFonts w:ascii="Calibri" w:cs="Calibri" w:eastAsia="Calibri" w:hAnsi="Calibri"/>
                <w:sz w:val="19"/>
                <w:szCs w:val="19"/>
              </w:rPr>
              <w:t xml:space="preserve">3 – Lămpi</w:t>
            </w:r>
          </w:p>
        </w:tc>
        <w:tc>
          <w:tcPr>
            <w:tcW w:type="dxa" w:w="1700"/>
            <w:tcMar>
              <w:top w:type="dxa" w:w="60"/>
              <w:left w:type="dxa" w:w="100"/>
              <w:bottom w:type="dxa" w:w="60"/>
              <w:right w:type="dxa" w:w="100"/>
            </w:tcMar>
          </w:tcPr>
          <w:p>
            <w:pPr>
              <w:spacing w:after="0"/>
              <w:jc w:val="right"/>
            </w:pPr>
            <w:r>
              <w:rPr>
                <w:rFonts w:ascii="Calibri" w:cs="Calibri" w:eastAsia="Calibri" w:hAnsi="Calibri"/>
                <w:sz w:val="19"/>
                <w:szCs w:val="19"/>
              </w:rPr>
              <w:t xml:space="preserve">100%</w:t>
            </w:r>
          </w:p>
        </w:tc>
        <w:tc>
          <w:tcPr>
            <w:tcW w:type="dxa" w:w="1700"/>
            <w:tcMar>
              <w:top w:type="dxa" w:w="60"/>
              <w:left w:type="dxa" w:w="100"/>
              <w:bottom w:type="dxa" w:w="60"/>
              <w:right w:type="dxa" w:w="100"/>
            </w:tcMar>
          </w:tcPr>
          <w:p>
            <w:pPr>
              <w:spacing w:after="0"/>
              <w:jc w:val="right"/>
            </w:pPr>
            <w:r>
              <w:rPr>
                <w:rFonts w:ascii="Calibri" w:cs="Calibri" w:eastAsia="Calibri" w:hAnsi="Calibri"/>
                <w:sz w:val="19"/>
                <w:szCs w:val="19"/>
              </w:rPr>
              <w:t xml:space="preserve">0%</w:t>
            </w:r>
          </w:p>
        </w:tc>
        <w:tc>
          <w:tcPr>
            <w:tcW w:type="dxa" w:w="3060"/>
            <w:tcMar>
              <w:top w:type="dxa" w:w="60"/>
              <w:left w:type="dxa" w:w="100"/>
              <w:bottom w:type="dxa" w:w="60"/>
              <w:right w:type="dxa" w:w="100"/>
            </w:tcMar>
          </w:tcPr>
          <w:p>
            <w:pPr>
              <w:spacing w:after="0"/>
              <w:jc w:val="left"/>
            </w:pPr>
            <w:r>
              <w:rPr>
                <w:rFonts w:ascii="Calibri" w:cs="Calibri" w:eastAsia="Calibri" w:hAnsi="Calibri"/>
                <w:sz w:val="19"/>
                <w:szCs w:val="19"/>
              </w:rPr>
              <w:t xml:space="preserve">Fără substituție: doar lămpi colectate.</w:t>
            </w:r>
          </w:p>
        </w:tc>
      </w:tr>
      <w:tr>
        <w:trPr>
          <w:cantSplit/>
        </w:trPr>
        <w:tc>
          <w:tcPr>
            <w:tcW w:type="dxa" w:w="29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2 – Ecrane și monitoare</w:t>
            </w:r>
          </w:p>
        </w:tc>
        <w:tc>
          <w:tcPr>
            <w:tcW w:type="dxa" w:w="17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30%</w:t>
            </w:r>
          </w:p>
        </w:tc>
        <w:tc>
          <w:tcPr>
            <w:tcW w:type="dxa" w:w="17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70%</w:t>
            </w:r>
          </w:p>
        </w:tc>
        <w:tc>
          <w:tcPr>
            <w:tcW w:type="dxa" w:w="306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Diferența poate fi acoperită din orice categorie.</w:t>
            </w:r>
          </w:p>
        </w:tc>
      </w:tr>
      <w:tr>
        <w:trPr>
          <w:cantSplit/>
        </w:trPr>
        <w:tc>
          <w:tcPr>
            <w:tcW w:type="dxa" w:w="2900"/>
            <w:tcMar>
              <w:top w:type="dxa" w:w="60"/>
              <w:left w:type="dxa" w:w="100"/>
              <w:bottom w:type="dxa" w:w="60"/>
              <w:right w:type="dxa" w:w="100"/>
            </w:tcMar>
          </w:tcPr>
          <w:p>
            <w:pPr>
              <w:spacing w:after="0"/>
              <w:jc w:val="left"/>
            </w:pPr>
            <w:r>
              <w:rPr>
                <w:rFonts w:ascii="Calibri" w:cs="Calibri" w:eastAsia="Calibri" w:hAnsi="Calibri"/>
                <w:sz w:val="19"/>
                <w:szCs w:val="19"/>
              </w:rPr>
              <w:t xml:space="preserve">4 – Echipamente de mari dimensiuni</w:t>
            </w:r>
          </w:p>
        </w:tc>
        <w:tc>
          <w:tcPr>
            <w:tcW w:type="dxa" w:w="1700"/>
            <w:tcMar>
              <w:top w:type="dxa" w:w="60"/>
              <w:left w:type="dxa" w:w="100"/>
              <w:bottom w:type="dxa" w:w="60"/>
              <w:right w:type="dxa" w:w="100"/>
            </w:tcMar>
          </w:tcPr>
          <w:p>
            <w:pPr>
              <w:spacing w:after="0"/>
              <w:jc w:val="right"/>
            </w:pPr>
            <w:r>
              <w:rPr>
                <w:rFonts w:ascii="Calibri" w:cs="Calibri" w:eastAsia="Calibri" w:hAnsi="Calibri"/>
                <w:sz w:val="19"/>
                <w:szCs w:val="19"/>
              </w:rPr>
              <w:t xml:space="preserve">30%</w:t>
            </w:r>
          </w:p>
        </w:tc>
        <w:tc>
          <w:tcPr>
            <w:tcW w:type="dxa" w:w="1700"/>
            <w:tcMar>
              <w:top w:type="dxa" w:w="60"/>
              <w:left w:type="dxa" w:w="100"/>
              <w:bottom w:type="dxa" w:w="60"/>
              <w:right w:type="dxa" w:w="100"/>
            </w:tcMar>
          </w:tcPr>
          <w:p>
            <w:pPr>
              <w:spacing w:after="0"/>
              <w:jc w:val="right"/>
            </w:pPr>
            <w:r>
              <w:rPr>
                <w:rFonts w:ascii="Calibri" w:cs="Calibri" w:eastAsia="Calibri" w:hAnsi="Calibri"/>
                <w:sz w:val="19"/>
                <w:szCs w:val="19"/>
              </w:rPr>
              <w:t xml:space="preserve">70%</w:t>
            </w:r>
          </w:p>
        </w:tc>
        <w:tc>
          <w:tcPr>
            <w:tcW w:type="dxa" w:w="3060"/>
            <w:tcMar>
              <w:top w:type="dxa" w:w="60"/>
              <w:left w:type="dxa" w:w="100"/>
              <w:bottom w:type="dxa" w:w="60"/>
              <w:right w:type="dxa" w:w="100"/>
            </w:tcMar>
          </w:tcPr>
          <w:p>
            <w:pPr>
              <w:spacing w:after="0"/>
              <w:jc w:val="left"/>
            </w:pPr>
            <w:r>
              <w:rPr>
                <w:rFonts w:ascii="Calibri" w:cs="Calibri" w:eastAsia="Calibri" w:hAnsi="Calibri"/>
                <w:sz w:val="19"/>
                <w:szCs w:val="19"/>
              </w:rPr>
              <w:t xml:space="preserve">Restul de 70% poate fi tot categoria proprie sau altele.</w:t>
            </w:r>
          </w:p>
        </w:tc>
      </w:tr>
      <w:tr>
        <w:trPr>
          <w:cantSplit/>
        </w:trPr>
        <w:tc>
          <w:tcPr>
            <w:tcW w:type="dxa" w:w="29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5 – Echipamente de mici dimensiuni</w:t>
            </w:r>
          </w:p>
        </w:tc>
        <w:tc>
          <w:tcPr>
            <w:tcW w:type="dxa" w:w="17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30%</w:t>
            </w:r>
          </w:p>
        </w:tc>
        <w:tc>
          <w:tcPr>
            <w:tcW w:type="dxa" w:w="17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70%</w:t>
            </w:r>
          </w:p>
        </w:tc>
        <w:tc>
          <w:tcPr>
            <w:tcW w:type="dxa" w:w="306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Restul de 70% poate fi tot categoria proprie sau altele.</w:t>
            </w:r>
          </w:p>
        </w:tc>
      </w:tr>
      <w:tr>
        <w:trPr>
          <w:cantSplit/>
        </w:trPr>
        <w:tc>
          <w:tcPr>
            <w:tcW w:type="dxa" w:w="2900"/>
            <w:tcMar>
              <w:top w:type="dxa" w:w="60"/>
              <w:left w:type="dxa" w:w="100"/>
              <w:bottom w:type="dxa" w:w="60"/>
              <w:right w:type="dxa" w:w="100"/>
            </w:tcMar>
          </w:tcPr>
          <w:p>
            <w:pPr>
              <w:spacing w:after="0"/>
              <w:jc w:val="left"/>
            </w:pPr>
            <w:r>
              <w:rPr>
                <w:rFonts w:ascii="Calibri" w:cs="Calibri" w:eastAsia="Calibri" w:hAnsi="Calibri"/>
                <w:sz w:val="19"/>
                <w:szCs w:val="19"/>
              </w:rPr>
              <w:t xml:space="preserve">6 – Echipamente IT&amp;C mici</w:t>
            </w:r>
          </w:p>
        </w:tc>
        <w:tc>
          <w:tcPr>
            <w:tcW w:type="dxa" w:w="1700"/>
            <w:tcMar>
              <w:top w:type="dxa" w:w="60"/>
              <w:left w:type="dxa" w:w="100"/>
              <w:bottom w:type="dxa" w:w="60"/>
              <w:right w:type="dxa" w:w="100"/>
            </w:tcMar>
          </w:tcPr>
          <w:p>
            <w:pPr>
              <w:spacing w:after="0"/>
              <w:jc w:val="right"/>
            </w:pPr>
            <w:r>
              <w:rPr>
                <w:rFonts w:ascii="Calibri" w:cs="Calibri" w:eastAsia="Calibri" w:hAnsi="Calibri"/>
                <w:sz w:val="19"/>
                <w:szCs w:val="19"/>
              </w:rPr>
              <w:t xml:space="preserve">30%</w:t>
            </w:r>
          </w:p>
        </w:tc>
        <w:tc>
          <w:tcPr>
            <w:tcW w:type="dxa" w:w="1700"/>
            <w:tcMar>
              <w:top w:type="dxa" w:w="60"/>
              <w:left w:type="dxa" w:w="100"/>
              <w:bottom w:type="dxa" w:w="60"/>
              <w:right w:type="dxa" w:w="100"/>
            </w:tcMar>
          </w:tcPr>
          <w:p>
            <w:pPr>
              <w:spacing w:after="0"/>
              <w:jc w:val="right"/>
            </w:pPr>
            <w:r>
              <w:rPr>
                <w:rFonts w:ascii="Calibri" w:cs="Calibri" w:eastAsia="Calibri" w:hAnsi="Calibri"/>
                <w:sz w:val="19"/>
                <w:szCs w:val="19"/>
              </w:rPr>
              <w:t xml:space="preserve">70%</w:t>
            </w:r>
          </w:p>
        </w:tc>
        <w:tc>
          <w:tcPr>
            <w:tcW w:type="dxa" w:w="3060"/>
            <w:tcMar>
              <w:top w:type="dxa" w:w="60"/>
              <w:left w:type="dxa" w:w="100"/>
              <w:bottom w:type="dxa" w:w="60"/>
              <w:right w:type="dxa" w:w="100"/>
            </w:tcMar>
          </w:tcPr>
          <w:p>
            <w:pPr>
              <w:spacing w:after="0"/>
              <w:jc w:val="left"/>
            </w:pPr>
            <w:r>
              <w:rPr>
                <w:rFonts w:ascii="Calibri" w:cs="Calibri" w:eastAsia="Calibri" w:hAnsi="Calibri"/>
                <w:sz w:val="19"/>
                <w:szCs w:val="19"/>
              </w:rPr>
              <w:t xml:space="preserve">Restul de 70% poate fi tot categoria proprie sau altele.</w:t>
            </w:r>
          </w:p>
        </w:tc>
      </w:tr>
      <w:tr>
        <w:trPr>
          <w:cantSplit/>
        </w:trPr>
        <w:tc>
          <w:tcPr>
            <w:tcW w:type="dxa" w:w="29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4B – Panouri fotovoltaice</w:t>
            </w:r>
          </w:p>
        </w:tc>
        <w:tc>
          <w:tcPr>
            <w:tcW w:type="dxa" w:w="17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0%</w:t>
            </w:r>
          </w:p>
        </w:tc>
        <w:tc>
          <w:tcPr>
            <w:tcW w:type="dxa" w:w="17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100%</w:t>
            </w:r>
          </w:p>
        </w:tc>
        <w:tc>
          <w:tcPr>
            <w:tcW w:type="dxa" w:w="306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Se pot îndeplini integral din orice categorie colectată.</w:t>
            </w:r>
          </w:p>
        </w:tc>
      </w:tr>
    </w:tbl>
    <w:p>
      <w:pPr>
        <w:spacing w:after="120" w:before="120"/>
      </w:pPr>
      <w:r>
        <w:rPr>
          <w:rFonts w:ascii="Calibri" w:cs="Calibri" w:eastAsia="Calibri" w:hAnsi="Calibri"/>
          <w:sz w:val="21"/>
          <w:szCs w:val="21"/>
        </w:rPr>
        <w:t xml:space="preserve">Pragul de 30% se raportează la obligația categoriei, nu la cantitatea efectiv alocată. Consecința practică: dacă din categoria proprie s-a colectat mai puțin de 30% din obligație, diferența nu poate fi acoperită prin substituție, iar categoria rămâne sub 100% indiferent câte deșeuri din alte categorii există disponibile.</w:t>
      </w:r>
    </w:p>
    <w:p>
      <w:pPr>
        <w:pStyle w:val="Heading1"/>
        <w:spacing w:after="140" w:before="320"/>
      </w:pPr>
      <w:r>
        <w:rPr>
          <w:rFonts w:ascii="Calibri" w:cs="Calibri" w:eastAsia="Calibri" w:hAnsi="Calibri"/>
          <w:b/>
          <w:bCs/>
          <w:color w:val="1F4E79"/>
          <w:sz w:val="30"/>
          <w:szCs w:val="30"/>
        </w:rPr>
        <w:t xml:space="preserve">5. Exemplu numeric – client cu 100 kg declarate</w:t>
      </w:r>
    </w:p>
    <w:p>
      <w:pPr>
        <w:spacing w:after="120" w:before="0"/>
      </w:pPr>
      <w:r>
        <w:rPr>
          <w:rFonts w:ascii="Calibri" w:cs="Calibri" w:eastAsia="Calibri" w:hAnsi="Calibri"/>
          <w:sz w:val="21"/>
          <w:szCs w:val="21"/>
        </w:rPr>
        <w:t xml:space="preserve">Un client care declară 100 kg în 2026 are o obligație anuală de 21,67 kg, timp de trei ani consecutivi. La finalul perioadei de referință va fi colectat 65 kg, adică cele 65% obligatorii:</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2080"/>
        <w:gridCol w:w="2080"/>
        <w:gridCol w:w="2000"/>
      </w:tblGrid>
      <w:tr>
        <w:trPr>
          <w:cantSplit/>
          <w:tblHeader/>
        </w:trPr>
        <w:tc>
          <w:tcPr>
            <w:tcW w:type="dxa" w:w="320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An de raportare</w:t>
            </w:r>
          </w:p>
        </w:tc>
        <w:tc>
          <w:tcPr>
            <w:tcW w:type="dxa" w:w="208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Bază de calcul (kg)</w:t>
            </w:r>
          </w:p>
        </w:tc>
        <w:tc>
          <w:tcPr>
            <w:tcW w:type="dxa" w:w="208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Obligație anuală (kg)</w:t>
            </w:r>
          </w:p>
        </w:tc>
        <w:tc>
          <w:tcPr>
            <w:tcW w:type="dxa" w:w="200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 din declarat</w:t>
            </w:r>
          </w:p>
        </w:tc>
      </w:tr>
      <w:tr>
        <w:trPr>
          <w:cantSplit/>
        </w:trPr>
        <w:tc>
          <w:tcPr>
            <w:tcW w:type="dxa" w:w="3200"/>
            <w:tcMar>
              <w:top w:type="dxa" w:w="60"/>
              <w:left w:type="dxa" w:w="100"/>
              <w:bottom w:type="dxa" w:w="60"/>
              <w:right w:type="dxa" w:w="100"/>
            </w:tcMar>
          </w:tcPr>
          <w:p>
            <w:pPr>
              <w:spacing w:after="0"/>
              <w:jc w:val="left"/>
            </w:pPr>
            <w:r>
              <w:rPr>
                <w:rFonts w:ascii="Calibri" w:cs="Calibri" w:eastAsia="Calibri" w:hAnsi="Calibri"/>
                <w:sz w:val="19"/>
                <w:szCs w:val="19"/>
              </w:rPr>
              <w:t xml:space="preserve">Anul 1</w:t>
            </w:r>
          </w:p>
        </w:tc>
        <w:tc>
          <w:tcPr>
            <w:tcW w:type="dxa" w:w="2080"/>
            <w:tcMar>
              <w:top w:type="dxa" w:w="60"/>
              <w:left w:type="dxa" w:w="100"/>
              <w:bottom w:type="dxa" w:w="60"/>
              <w:right w:type="dxa" w:w="100"/>
            </w:tcMar>
          </w:tcPr>
          <w:p>
            <w:pPr>
              <w:spacing w:after="0"/>
              <w:jc w:val="right"/>
            </w:pPr>
            <w:r>
              <w:rPr>
                <w:rFonts w:ascii="Calibri" w:cs="Calibri" w:eastAsia="Calibri" w:hAnsi="Calibri"/>
                <w:sz w:val="19"/>
                <w:szCs w:val="19"/>
              </w:rPr>
              <w:t xml:space="preserve">100,00</w:t>
            </w:r>
          </w:p>
        </w:tc>
        <w:tc>
          <w:tcPr>
            <w:tcW w:type="dxa" w:w="2080"/>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c>
          <w:tcPr>
            <w:tcW w:type="dxa" w:w="2000"/>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r>
      <w:tr>
        <w:trPr>
          <w:cantSplit/>
        </w:trPr>
        <w:tc>
          <w:tcPr>
            <w:tcW w:type="dxa" w:w="32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Anul 2</w:t>
            </w:r>
          </w:p>
        </w:tc>
        <w:tc>
          <w:tcPr>
            <w:tcW w:type="dxa" w:w="208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100,00</w:t>
            </w:r>
          </w:p>
        </w:tc>
        <w:tc>
          <w:tcPr>
            <w:tcW w:type="dxa" w:w="208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c>
          <w:tcPr>
            <w:tcW w:type="dxa" w:w="20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r>
      <w:tr>
        <w:trPr>
          <w:cantSplit/>
        </w:trPr>
        <w:tc>
          <w:tcPr>
            <w:tcW w:type="dxa" w:w="3200"/>
            <w:tcMar>
              <w:top w:type="dxa" w:w="60"/>
              <w:left w:type="dxa" w:w="100"/>
              <w:bottom w:type="dxa" w:w="60"/>
              <w:right w:type="dxa" w:w="100"/>
            </w:tcMar>
          </w:tcPr>
          <w:p>
            <w:pPr>
              <w:spacing w:after="0"/>
              <w:jc w:val="left"/>
            </w:pPr>
            <w:r>
              <w:rPr>
                <w:rFonts w:ascii="Calibri" w:cs="Calibri" w:eastAsia="Calibri" w:hAnsi="Calibri"/>
                <w:sz w:val="19"/>
                <w:szCs w:val="19"/>
              </w:rPr>
              <w:t xml:space="preserve">Anul 3</w:t>
            </w:r>
          </w:p>
        </w:tc>
        <w:tc>
          <w:tcPr>
            <w:tcW w:type="dxa" w:w="2080"/>
            <w:tcMar>
              <w:top w:type="dxa" w:w="60"/>
              <w:left w:type="dxa" w:w="100"/>
              <w:bottom w:type="dxa" w:w="60"/>
              <w:right w:type="dxa" w:w="100"/>
            </w:tcMar>
          </w:tcPr>
          <w:p>
            <w:pPr>
              <w:spacing w:after="0"/>
              <w:jc w:val="right"/>
            </w:pPr>
            <w:r>
              <w:rPr>
                <w:rFonts w:ascii="Calibri" w:cs="Calibri" w:eastAsia="Calibri" w:hAnsi="Calibri"/>
                <w:sz w:val="19"/>
                <w:szCs w:val="19"/>
              </w:rPr>
              <w:t xml:space="preserve">100,00</w:t>
            </w:r>
          </w:p>
        </w:tc>
        <w:tc>
          <w:tcPr>
            <w:tcW w:type="dxa" w:w="2080"/>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c>
          <w:tcPr>
            <w:tcW w:type="dxa" w:w="2000"/>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r>
      <w:tr>
        <w:trPr>
          <w:cantSplit/>
        </w:trPr>
        <w:tc>
          <w:tcPr>
            <w:tcW w:type="dxa" w:w="3200"/>
            <w:shd w:fill="DCE6F1" w:color="auto" w:val="clear"/>
            <w:tcMar>
              <w:top w:type="dxa" w:w="60"/>
              <w:left w:type="dxa" w:w="100"/>
              <w:bottom w:type="dxa" w:w="60"/>
              <w:right w:type="dxa" w:w="100"/>
            </w:tcMar>
          </w:tcPr>
          <w:p>
            <w:pPr>
              <w:spacing w:after="0"/>
              <w:jc w:val="left"/>
            </w:pPr>
            <w:r>
              <w:rPr>
                <w:rFonts w:ascii="Calibri" w:cs="Calibri" w:eastAsia="Calibri" w:hAnsi="Calibri"/>
                <w:b/>
                <w:bCs/>
                <w:sz w:val="19"/>
                <w:szCs w:val="19"/>
              </w:rPr>
              <w:t xml:space="preserve">CUMULAT PE 3 ANI</w:t>
            </w:r>
          </w:p>
        </w:tc>
        <w:tc>
          <w:tcPr>
            <w:tcW w:type="dxa" w:w="208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100,00</w:t>
            </w:r>
          </w:p>
        </w:tc>
        <w:tc>
          <w:tcPr>
            <w:tcW w:type="dxa" w:w="208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65,00</w:t>
            </w:r>
          </w:p>
        </w:tc>
        <w:tc>
          <w:tcPr>
            <w:tcW w:type="dxa" w:w="200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65,00%</w:t>
            </w:r>
          </w:p>
        </w:tc>
      </w:tr>
    </w:tbl>
    <w:p>
      <w:pPr>
        <w:spacing w:after="120" w:before="140"/>
      </w:pPr>
      <w:r>
        <w:rPr>
          <w:rFonts w:ascii="Calibri" w:cs="Calibri" w:eastAsia="Calibri" w:hAnsi="Calibri"/>
          <w:sz w:val="21"/>
          <w:szCs w:val="21"/>
        </w:rPr>
        <w:t xml:space="preserve">Obligația fiecărui an se defalcă pe categorii proporțional cu declarația, iar regulile de substituție se aplică separat pentru fiecare an: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1500"/>
        <w:gridCol w:w="1500"/>
        <w:gridCol w:w="1500"/>
        <w:gridCol w:w="1660"/>
      </w:tblGrid>
      <w:tr>
        <w:trPr>
          <w:cantSplit/>
          <w:tblHeader/>
        </w:trPr>
        <w:tc>
          <w:tcPr>
            <w:tcW w:type="dxa" w:w="320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Categorie</w:t>
            </w:r>
          </w:p>
        </w:tc>
        <w:tc>
          <w:tcPr>
            <w:tcW w:type="dxa" w:w="150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Declarat (kg)</w:t>
            </w:r>
          </w:p>
        </w:tc>
        <w:tc>
          <w:tcPr>
            <w:tcW w:type="dxa" w:w="150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Obligație (kg)</w:t>
            </w:r>
          </w:p>
        </w:tc>
        <w:tc>
          <w:tcPr>
            <w:tcW w:type="dxa" w:w="150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Min. propriu (kg)</w:t>
            </w:r>
          </w:p>
        </w:tc>
        <w:tc>
          <w:tcPr>
            <w:tcW w:type="dxa" w:w="166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Orice categorie (kg)</w:t>
            </w:r>
          </w:p>
        </w:tc>
      </w:tr>
      <w:tr>
        <w:trPr>
          <w:cantSplit/>
        </w:trPr>
        <w:tc>
          <w:tcPr>
            <w:tcW w:type="dxa" w:w="3200"/>
            <w:tcMar>
              <w:top w:type="dxa" w:w="60"/>
              <w:left w:type="dxa" w:w="100"/>
              <w:bottom w:type="dxa" w:w="60"/>
              <w:right w:type="dxa" w:w="100"/>
            </w:tcMar>
          </w:tcPr>
          <w:p>
            <w:pPr>
              <w:spacing w:after="0"/>
              <w:jc w:val="left"/>
            </w:pPr>
            <w:r>
              <w:rPr>
                <w:rFonts w:ascii="Calibri" w:cs="Calibri" w:eastAsia="Calibri" w:hAnsi="Calibri"/>
                <w:sz w:val="19"/>
                <w:szCs w:val="19"/>
              </w:rPr>
              <w:t xml:space="preserve">Lămpi</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20,00</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4,334</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4,334</w:t>
            </w:r>
          </w:p>
        </w:tc>
        <w:tc>
          <w:tcPr>
            <w:tcW w:type="dxa" w:w="1660"/>
            <w:tcMar>
              <w:top w:type="dxa" w:w="60"/>
              <w:left w:type="dxa" w:w="100"/>
              <w:bottom w:type="dxa" w:w="60"/>
              <w:right w:type="dxa" w:w="100"/>
            </w:tcMar>
          </w:tcPr>
          <w:p>
            <w:pPr>
              <w:spacing w:after="0"/>
              <w:jc w:val="right"/>
            </w:pPr>
            <w:r>
              <w:rPr>
                <w:rFonts w:ascii="Calibri" w:cs="Calibri" w:eastAsia="Calibri" w:hAnsi="Calibri"/>
                <w:sz w:val="19"/>
                <w:szCs w:val="19"/>
              </w:rPr>
              <w:t xml:space="preserve">0,000</w:t>
            </w:r>
          </w:p>
        </w:tc>
      </w:tr>
      <w:tr>
        <w:trPr>
          <w:cantSplit/>
        </w:trPr>
        <w:tc>
          <w:tcPr>
            <w:tcW w:type="dxa" w:w="32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Ecrane</w:t>
            </w:r>
          </w:p>
        </w:tc>
        <w:tc>
          <w:tcPr>
            <w:tcW w:type="dxa" w:w="15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20,00</w:t>
            </w:r>
          </w:p>
        </w:tc>
        <w:tc>
          <w:tcPr>
            <w:tcW w:type="dxa" w:w="15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4,334</w:t>
            </w:r>
          </w:p>
        </w:tc>
        <w:tc>
          <w:tcPr>
            <w:tcW w:type="dxa" w:w="15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1,300</w:t>
            </w:r>
          </w:p>
        </w:tc>
        <w:tc>
          <w:tcPr>
            <w:tcW w:type="dxa" w:w="166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3,034</w:t>
            </w:r>
          </w:p>
        </w:tc>
      </w:tr>
      <w:tr>
        <w:trPr>
          <w:cantSplit/>
        </w:trPr>
        <w:tc>
          <w:tcPr>
            <w:tcW w:type="dxa" w:w="3200"/>
            <w:tcMar>
              <w:top w:type="dxa" w:w="60"/>
              <w:left w:type="dxa" w:w="100"/>
              <w:bottom w:type="dxa" w:w="60"/>
              <w:right w:type="dxa" w:w="100"/>
            </w:tcMar>
          </w:tcPr>
          <w:p>
            <w:pPr>
              <w:spacing w:after="0"/>
              <w:jc w:val="left"/>
            </w:pPr>
            <w:r>
              <w:rPr>
                <w:rFonts w:ascii="Calibri" w:cs="Calibri" w:eastAsia="Calibri" w:hAnsi="Calibri"/>
                <w:sz w:val="19"/>
                <w:szCs w:val="19"/>
              </w:rPr>
              <w:t xml:space="preserve">Echipamente mari</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40,00</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8,668</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2,600</w:t>
            </w:r>
          </w:p>
        </w:tc>
        <w:tc>
          <w:tcPr>
            <w:tcW w:type="dxa" w:w="1660"/>
            <w:tcMar>
              <w:top w:type="dxa" w:w="60"/>
              <w:left w:type="dxa" w:w="100"/>
              <w:bottom w:type="dxa" w:w="60"/>
              <w:right w:type="dxa" w:w="100"/>
            </w:tcMar>
          </w:tcPr>
          <w:p>
            <w:pPr>
              <w:spacing w:after="0"/>
              <w:jc w:val="right"/>
            </w:pPr>
            <w:r>
              <w:rPr>
                <w:rFonts w:ascii="Calibri" w:cs="Calibri" w:eastAsia="Calibri" w:hAnsi="Calibri"/>
                <w:sz w:val="19"/>
                <w:szCs w:val="19"/>
              </w:rPr>
              <w:t xml:space="preserve">6,068</w:t>
            </w:r>
          </w:p>
        </w:tc>
      </w:tr>
      <w:tr>
        <w:trPr>
          <w:cantSplit/>
        </w:trPr>
        <w:tc>
          <w:tcPr>
            <w:tcW w:type="dxa" w:w="32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Echipamente mici</w:t>
            </w:r>
          </w:p>
        </w:tc>
        <w:tc>
          <w:tcPr>
            <w:tcW w:type="dxa" w:w="15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10,00</w:t>
            </w:r>
          </w:p>
        </w:tc>
        <w:tc>
          <w:tcPr>
            <w:tcW w:type="dxa" w:w="15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c>
          <w:tcPr>
            <w:tcW w:type="dxa" w:w="150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0,650</w:t>
            </w:r>
          </w:p>
        </w:tc>
        <w:tc>
          <w:tcPr>
            <w:tcW w:type="dxa" w:w="166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1,517</w:t>
            </w:r>
          </w:p>
        </w:tc>
      </w:tr>
      <w:tr>
        <w:trPr>
          <w:cantSplit/>
        </w:trPr>
        <w:tc>
          <w:tcPr>
            <w:tcW w:type="dxa" w:w="3200"/>
            <w:tcMar>
              <w:top w:type="dxa" w:w="60"/>
              <w:left w:type="dxa" w:w="100"/>
              <w:bottom w:type="dxa" w:w="60"/>
              <w:right w:type="dxa" w:w="100"/>
            </w:tcMar>
          </w:tcPr>
          <w:p>
            <w:pPr>
              <w:spacing w:after="0"/>
              <w:jc w:val="left"/>
            </w:pPr>
            <w:r>
              <w:rPr>
                <w:rFonts w:ascii="Calibri" w:cs="Calibri" w:eastAsia="Calibri" w:hAnsi="Calibri"/>
                <w:sz w:val="19"/>
                <w:szCs w:val="19"/>
              </w:rPr>
              <w:t xml:space="preserve">Panouri fotovoltaice</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10,00</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c>
          <w:tcPr>
            <w:tcW w:type="dxa" w:w="1500"/>
            <w:tcMar>
              <w:top w:type="dxa" w:w="60"/>
              <w:left w:type="dxa" w:w="100"/>
              <w:bottom w:type="dxa" w:w="60"/>
              <w:right w:type="dxa" w:w="100"/>
            </w:tcMar>
          </w:tcPr>
          <w:p>
            <w:pPr>
              <w:spacing w:after="0"/>
              <w:jc w:val="right"/>
            </w:pPr>
            <w:r>
              <w:rPr>
                <w:rFonts w:ascii="Calibri" w:cs="Calibri" w:eastAsia="Calibri" w:hAnsi="Calibri"/>
                <w:sz w:val="19"/>
                <w:szCs w:val="19"/>
              </w:rPr>
              <w:t xml:space="preserve">0,000</w:t>
            </w:r>
          </w:p>
        </w:tc>
        <w:tc>
          <w:tcPr>
            <w:tcW w:type="dxa" w:w="1660"/>
            <w:tcMar>
              <w:top w:type="dxa" w:w="60"/>
              <w:left w:type="dxa" w:w="100"/>
              <w:bottom w:type="dxa" w:w="60"/>
              <w:right w:type="dxa" w:w="100"/>
            </w:tcMar>
          </w:tcPr>
          <w:p>
            <w:pPr>
              <w:spacing w:after="0"/>
              <w:jc w:val="right"/>
            </w:pPr>
            <w:r>
              <w:rPr>
                <w:rFonts w:ascii="Calibri" w:cs="Calibri" w:eastAsia="Calibri" w:hAnsi="Calibri"/>
                <w:sz w:val="19"/>
                <w:szCs w:val="19"/>
              </w:rPr>
              <w:t xml:space="preserve">2,167</w:t>
            </w:r>
          </w:p>
        </w:tc>
      </w:tr>
      <w:tr>
        <w:trPr>
          <w:cantSplit/>
        </w:trPr>
        <w:tc>
          <w:tcPr>
            <w:tcW w:type="dxa" w:w="3200"/>
            <w:shd w:fill="DCE6F1" w:color="auto" w:val="clear"/>
            <w:tcMar>
              <w:top w:type="dxa" w:w="60"/>
              <w:left w:type="dxa" w:w="100"/>
              <w:bottom w:type="dxa" w:w="60"/>
              <w:right w:type="dxa" w:w="100"/>
            </w:tcMar>
          </w:tcPr>
          <w:p>
            <w:pPr>
              <w:spacing w:after="0"/>
              <w:jc w:val="left"/>
            </w:pPr>
            <w:r>
              <w:rPr>
                <w:rFonts w:ascii="Calibri" w:cs="Calibri" w:eastAsia="Calibri" w:hAnsi="Calibri"/>
                <w:b/>
                <w:bCs/>
                <w:sz w:val="19"/>
                <w:szCs w:val="19"/>
              </w:rPr>
              <w:t xml:space="preserve">TOTAL</w:t>
            </w:r>
          </w:p>
        </w:tc>
        <w:tc>
          <w:tcPr>
            <w:tcW w:type="dxa" w:w="150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100,00</w:t>
            </w:r>
          </w:p>
        </w:tc>
        <w:tc>
          <w:tcPr>
            <w:tcW w:type="dxa" w:w="150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21,670</w:t>
            </w:r>
          </w:p>
        </w:tc>
        <w:tc>
          <w:tcPr>
            <w:tcW w:type="dxa" w:w="150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8,884</w:t>
            </w:r>
          </w:p>
        </w:tc>
        <w:tc>
          <w:tcPr>
            <w:tcW w:type="dxa" w:w="166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12,786</w:t>
            </w:r>
          </w:p>
        </w:tc>
      </w:tr>
    </w:tbl>
    <w:p>
      <w:pPr>
        <w:spacing w:after="120" w:before="120"/>
      </w:pPr>
      <w:r>
        <w:rPr>
          <w:rFonts w:ascii="Calibri" w:cs="Calibri" w:eastAsia="Calibri" w:hAnsi="Calibri"/>
          <w:sz w:val="21"/>
          <w:szCs w:val="21"/>
        </w:rPr>
        <w:t xml:space="preserve">Valorile din tabel sunt obligațiile unui singur an de raportare. Cele 4,334 kg de lămpi se pot acoperi exclusiv cu lămpi. La ecrane sunt obligatorii minimum 1,300 kg ecrane colectate, iar restul de 3,034 kg poate proveni din orice categorie. Aceeași logică se aplică la echipamentele mari și mici. Panourile se pot acoperi integral din orice categorie colectată. Aceeași structură se repetă identic în fiecare dintre cei trei ani ai perioadei de referință.</w:t>
      </w:r>
    </w:p>
    <w:p>
      <w:pPr>
        <w:pStyle w:val="Heading1"/>
        <w:spacing w:after="140" w:before="320"/>
      </w:pPr>
      <w:r>
        <w:rPr>
          <w:rFonts w:ascii="Calibri" w:cs="Calibri" w:eastAsia="Calibri" w:hAnsi="Calibri"/>
          <w:b/>
          <w:bCs/>
          <w:color w:val="1F4E79"/>
          <w:sz w:val="30"/>
          <w:szCs w:val="30"/>
        </w:rPr>
        <w:t xml:space="preserve">6. Algoritmul de alocare</w:t>
      </w:r>
    </w:p>
    <w:p>
      <w:pPr>
        <w:spacing w:after="120" w:before="0"/>
      </w:pPr>
      <w:r>
        <w:rPr>
          <w:rFonts w:ascii="Calibri" w:cs="Calibri" w:eastAsia="Calibri" w:hAnsi="Calibri"/>
          <w:sz w:val="21"/>
          <w:szCs w:val="21"/>
        </w:rPr>
        <w:t xml:space="preserve">Alocarea se face în șase pași, în această ordine:</w:t>
      </w:r>
    </w:p>
    <w:p>
      <w:pPr>
        <w:pStyle w:val="ListParagraph"/>
        <w:numPr>
          <w:ilvl w:val="0"/>
          <w:numId w:val="2"/>
        </w:numPr>
        <w:spacing w:after="100"/>
      </w:pPr>
      <w:r>
        <w:rPr>
          <w:rFonts w:ascii="Calibri" w:cs="Calibri" w:eastAsia="Calibri" w:hAnsi="Calibri"/>
          <w:b/>
          <w:bCs/>
          <w:sz w:val="21"/>
          <w:szCs w:val="21"/>
        </w:rPr>
        <w:t xml:space="preserve">Calculul obligației – </w:t>
      </w:r>
      <w:r>
        <w:rPr>
          <w:rFonts w:ascii="Calibri" w:cs="Calibri" w:eastAsia="Calibri" w:hAnsi="Calibri"/>
          <w:sz w:val="21"/>
          <w:szCs w:val="21"/>
        </w:rPr>
        <w:t xml:space="preserve">Pentru fiecare categorie: obligație = declarat × 21,67%.</w:t>
      </w:r>
    </w:p>
    <w:p>
      <w:pPr>
        <w:pStyle w:val="ListParagraph"/>
        <w:numPr>
          <w:ilvl w:val="0"/>
          <w:numId w:val="2"/>
        </w:numPr>
        <w:spacing w:after="100"/>
      </w:pPr>
      <w:r>
        <w:rPr>
          <w:rFonts w:ascii="Calibri" w:cs="Calibri" w:eastAsia="Calibri" w:hAnsi="Calibri"/>
          <w:b/>
          <w:bCs/>
          <w:sz w:val="21"/>
          <w:szCs w:val="21"/>
        </w:rPr>
        <w:t xml:space="preserve">Acoperirea din categoria proprie – </w:t>
      </w:r>
      <w:r>
        <w:rPr>
          <w:rFonts w:ascii="Calibri" w:cs="Calibri" w:eastAsia="Calibri" w:hAnsi="Calibri"/>
          <w:sz w:val="21"/>
          <w:szCs w:val="21"/>
        </w:rPr>
        <w:t xml:space="preserve">Fiecare categorie folosește întâi colectatul propriu, până la nivelul obligației: utilizat = min(colectat propriu; obligație).</w:t>
      </w:r>
    </w:p>
    <w:p>
      <w:pPr>
        <w:pStyle w:val="ListParagraph"/>
        <w:numPr>
          <w:ilvl w:val="0"/>
          <w:numId w:val="2"/>
        </w:numPr>
        <w:spacing w:after="100"/>
      </w:pPr>
      <w:r>
        <w:rPr>
          <w:rFonts w:ascii="Calibri" w:cs="Calibri" w:eastAsia="Calibri" w:hAnsi="Calibri"/>
          <w:b/>
          <w:bCs/>
          <w:sz w:val="21"/>
          <w:szCs w:val="21"/>
        </w:rPr>
        <w:t xml:space="preserve">Constituirea pool-ului – </w:t>
      </w:r>
      <w:r>
        <w:rPr>
          <w:rFonts w:ascii="Calibri" w:cs="Calibri" w:eastAsia="Calibri" w:hAnsi="Calibri"/>
          <w:sz w:val="21"/>
          <w:szCs w:val="21"/>
        </w:rPr>
        <w:t xml:space="preserve">Colectatul care depășește obligația propriei categorii nu se pierde: intră într-un pool comun, disponibil pentru realocare către alte categorii.</w:t>
      </w:r>
    </w:p>
    <w:p>
      <w:pPr>
        <w:pStyle w:val="ListParagraph"/>
        <w:numPr>
          <w:ilvl w:val="0"/>
          <w:numId w:val="2"/>
        </w:numPr>
        <w:spacing w:after="100"/>
      </w:pPr>
      <w:r>
        <w:rPr>
          <w:rFonts w:ascii="Calibri" w:cs="Calibri" w:eastAsia="Calibri" w:hAnsi="Calibri"/>
          <w:b/>
          <w:bCs/>
          <w:sz w:val="21"/>
          <w:szCs w:val="21"/>
        </w:rPr>
        <w:t xml:space="preserve">Stabilirea plafoanelor de substituție – </w:t>
      </w:r>
      <w:r>
        <w:rPr>
          <w:rFonts w:ascii="Calibri" w:cs="Calibri" w:eastAsia="Calibri" w:hAnsi="Calibri"/>
          <w:sz w:val="21"/>
          <w:szCs w:val="21"/>
        </w:rPr>
        <w:t xml:space="preserve">Pentru categoriile 2, 4, 5 și 6, cantitatea care poate fi primită din pool este limitată la 70% din obligația categoriei. Categoria 3 nu poate primi nimic din pool. Panourile (4B) pot primi până la acoperirea integrală a obligației.</w:t>
      </w:r>
    </w:p>
    <w:p>
      <w:pPr>
        <w:pStyle w:val="ListParagraph"/>
        <w:numPr>
          <w:ilvl w:val="0"/>
          <w:numId w:val="2"/>
        </w:numPr>
        <w:spacing w:after="100"/>
      </w:pPr>
      <w:r>
        <w:rPr>
          <w:rFonts w:ascii="Calibri" w:cs="Calibri" w:eastAsia="Calibri" w:hAnsi="Calibri"/>
          <w:b/>
          <w:bCs/>
          <w:sz w:val="21"/>
          <w:szCs w:val="21"/>
        </w:rPr>
        <w:t xml:space="preserve">Distribuirea pool-ului – </w:t>
      </w:r>
      <w:r>
        <w:rPr>
          <w:rFonts w:ascii="Calibri" w:cs="Calibri" w:eastAsia="Calibri" w:hAnsi="Calibri"/>
          <w:sz w:val="21"/>
          <w:szCs w:val="21"/>
        </w:rPr>
        <w:t xml:space="preserve">Pool-ul se alocă în ordinea categoriilor 2, 4, 5, 6 și abia la final către panouri (4B). Fiecare categorie primește minimul dintre necesarul rămas, plafonul de substituție și pool-ul disponibil la momentul respectiv.</w:t>
      </w:r>
    </w:p>
    <w:p>
      <w:pPr>
        <w:pStyle w:val="ListParagraph"/>
        <w:numPr>
          <w:ilvl w:val="0"/>
          <w:numId w:val="2"/>
        </w:numPr>
        <w:spacing w:after="100"/>
      </w:pPr>
      <w:r>
        <w:rPr>
          <w:rFonts w:ascii="Calibri" w:cs="Calibri" w:eastAsia="Calibri" w:hAnsi="Calibri"/>
          <w:b/>
          <w:bCs/>
          <w:sz w:val="21"/>
          <w:szCs w:val="21"/>
        </w:rPr>
        <w:t xml:space="preserve">Repartizarea pe clienți – </w:t>
      </w:r>
      <w:r>
        <w:rPr>
          <w:rFonts w:ascii="Calibri" w:cs="Calibri" w:eastAsia="Calibri" w:hAnsi="Calibri"/>
          <w:sz w:val="21"/>
          <w:szCs w:val="21"/>
        </w:rPr>
        <w:t xml:space="preserve">Cantitatea totală alocată unei categorii se împarte între clienții care au declarat în acea categorie, proporțional cu ponderea fiecăruia în categoria respectivă.</w:t>
      </w:r>
    </w:p>
    <w:p>
      <w:pPr>
        <w:spacing w:after="120" w:before="0"/>
      </w:pPr>
      <w:r>
        <w:rPr>
          <w:rFonts w:ascii="Calibri" w:cs="Calibri" w:eastAsia="Calibri" w:hAnsi="Calibri"/>
          <w:i/>
          <w:iCs/>
          <w:color w:val="595959"/>
          <w:sz w:val="21"/>
          <w:szCs w:val="21"/>
        </w:rPr>
        <w:t xml:space="preserve">Ordinea de la pasul 5 este o decizie internă: panourile sunt servite ultimele pentru că sunt singura categorie care acceptă orice tip de deșeu, deci sunt cel mai ușor de acoperit din surplusul rămas. Ordinea este configurabilă și poate fi modificată dacă prioritățile comerciale o cer.</w:t>
      </w:r>
    </w:p>
    <w:p>
      <w:pPr>
        <w:pStyle w:val="Heading1"/>
        <w:spacing w:after="140" w:before="320"/>
      </w:pPr>
      <w:r>
        <w:rPr>
          <w:rFonts w:ascii="Calibri" w:cs="Calibri" w:eastAsia="Calibri" w:hAnsi="Calibri"/>
          <w:b/>
          <w:bCs/>
          <w:color w:val="1F4E79"/>
          <w:sz w:val="30"/>
          <w:szCs w:val="30"/>
        </w:rPr>
        <w:t xml:space="preserve">7. Repartizarea pe clienți</w:t>
      </w:r>
    </w:p>
    <w:p>
      <w:pPr>
        <w:spacing w:after="120" w:before="0"/>
      </w:pPr>
      <w:r>
        <w:rPr>
          <w:rFonts w:ascii="Calibri" w:cs="Calibri" w:eastAsia="Calibri" w:hAnsi="Calibri"/>
          <w:sz w:val="21"/>
          <w:szCs w:val="21"/>
        </w:rPr>
        <w:t xml:space="preserve">În interiorul unei categorii, toți clienții sunt tratați identic: fiecare primește o cotă din cantitatea alocată categoriei egală cu ponderea sa în cantitatea declarată a categoriei.</w:t>
      </w:r>
    </w:p>
    <w:p>
      <w:pPr>
        <w:shd w:fill="DCE6F1" w:color="auto" w:val="clear"/>
        <w:spacing w:after="160" w:before="80"/>
        <w:jc w:val="center"/>
      </w:pPr>
      <w:r>
        <w:rPr>
          <w:rFonts w:ascii="Calibri" w:cs="Calibri" w:eastAsia="Calibri" w:hAnsi="Calibri"/>
          <w:b/>
          <w:bCs/>
          <w:color w:val="1F4E79"/>
          <w:sz w:val="21"/>
          <w:szCs w:val="21"/>
        </w:rPr>
        <w:t xml:space="preserve">Alocat client = Total alocat categoriei × (Declarat client în categorie ÷ Total declarat categorie)</w:t>
      </w:r>
    </w:p>
    <w:p>
      <w:pPr>
        <w:spacing w:after="120" w:before="0"/>
      </w:pPr>
      <w:r>
        <w:rPr>
          <w:rFonts w:ascii="Calibri" w:cs="Calibri" w:eastAsia="Calibri" w:hAnsi="Calibri"/>
          <w:sz w:val="21"/>
          <w:szCs w:val="21"/>
        </w:rPr>
        <w:t xml:space="preserve">Rezultă că procentul de îndeplinire este identic pentru toți clienții din aceeași categorie. Un client prezent în mai multe categorii are un grad de îndeplinire global egal cu media ponderată a categoriilor în care a declarat.</w:t>
      </w:r>
    </w:p>
    <w:p>
      <w:pPr>
        <w:pStyle w:val="Heading1"/>
        <w:spacing w:after="140" w:before="320"/>
      </w:pPr>
      <w:r>
        <w:rPr>
          <w:rFonts w:ascii="Calibri" w:cs="Calibri" w:eastAsia="Calibri" w:hAnsi="Calibri"/>
          <w:b/>
          <w:bCs/>
          <w:color w:val="1F4E79"/>
          <w:sz w:val="30"/>
          <w:szCs w:val="30"/>
        </w:rPr>
        <w:t xml:space="preserve">8. Defalcarea pe luni</w:t>
      </w:r>
    </w:p>
    <w:p>
      <w:pPr>
        <w:spacing w:after="120" w:before="0"/>
      </w:pPr>
      <w:r>
        <w:rPr>
          <w:rFonts w:ascii="Calibri" w:cs="Calibri" w:eastAsia="Calibri" w:hAnsi="Calibri"/>
          <w:sz w:val="21"/>
          <w:szCs w:val="21"/>
        </w:rPr>
        <w:t xml:space="preserve">Cantitățile colectate se raportează lunar, iar clientul trebuie să știe ce i s-a alocat în fiecare lună. Defalcarea urmează structura reală a surselor:</w:t>
      </w:r>
    </w:p>
    <w:p>
      <w:pPr>
        <w:pStyle w:val="ListParagraph"/>
        <w:numPr>
          <w:ilvl w:val="0"/>
          <w:numId w:val="3"/>
        </w:numPr>
        <w:spacing w:after="80"/>
      </w:pPr>
      <w:r>
        <w:rPr>
          <w:rFonts w:ascii="Calibri" w:cs="Calibri" w:eastAsia="Calibri" w:hAnsi="Calibri"/>
          <w:sz w:val="21"/>
          <w:szCs w:val="21"/>
        </w:rPr>
        <w:t xml:space="preserve">Partea acoperită din colectatul propriu păstrează proporția lunară a categoriei respective (ex.: dacă la echipamente mari s-au colectat 1.200.000 kg în iulie și 200.000 kg în august, alocarea din surse proprii se împarte în aceeași proporție).</w:t>
      </w:r>
    </w:p>
    <w:p>
      <w:pPr>
        <w:pStyle w:val="ListParagraph"/>
        <w:numPr>
          <w:ilvl w:val="0"/>
          <w:numId w:val="3"/>
        </w:numPr>
        <w:spacing w:after="80"/>
      </w:pPr>
      <w:r>
        <w:rPr>
          <w:rFonts w:ascii="Calibri" w:cs="Calibri" w:eastAsia="Calibri" w:hAnsi="Calibri"/>
          <w:sz w:val="21"/>
          <w:szCs w:val="21"/>
        </w:rPr>
        <w:t xml:space="preserve">Partea primită din pool preia proporția lunară a pool-ului în ansamblu, calculată ca medie ponderată a surplusurilor care îl compun (în prezent 84,48% iulie / 15,52% august).</w:t>
      </w:r>
    </w:p>
    <w:p>
      <w:pPr>
        <w:pStyle w:val="ListParagraph"/>
        <w:numPr>
          <w:ilvl w:val="0"/>
          <w:numId w:val="3"/>
        </w:numPr>
        <w:spacing w:after="80"/>
      </w:pPr>
      <w:r>
        <w:rPr>
          <w:rFonts w:ascii="Calibri" w:cs="Calibri" w:eastAsia="Calibri" w:hAnsi="Calibri"/>
          <w:sz w:val="21"/>
          <w:szCs w:val="21"/>
        </w:rPr>
        <w:t xml:space="preserve">Suma alocărilor lunare este întotdeauna egală cu cantitatea totală alocată, iar totalul pe lună este egal cu cantitatea efectiv colectată în luna respectivă.</w:t>
      </w:r>
    </w:p>
    <w:p>
      <w:pPr>
        <w:pStyle w:val="Heading1"/>
        <w:spacing w:after="140" w:before="320"/>
      </w:pPr>
      <w:r>
        <w:rPr>
          <w:rFonts w:ascii="Calibri" w:cs="Calibri" w:eastAsia="Calibri" w:hAnsi="Calibri"/>
          <w:b/>
          <w:bCs/>
          <w:color w:val="1F4E79"/>
          <w:sz w:val="30"/>
          <w:szCs w:val="30"/>
        </w:rPr>
        <w:t xml:space="preserve">9. Situația curentă a portofoliului</w:t>
      </w:r>
    </w:p>
    <w:p>
      <w:pPr>
        <w:spacing w:after="120" w:before="0"/>
      </w:pPr>
      <w:r>
        <w:rPr>
          <w:rFonts w:ascii="Calibri" w:cs="Calibri" w:eastAsia="Calibri" w:hAnsi="Calibri"/>
          <w:sz w:val="21"/>
          <w:szCs w:val="21"/>
        </w:rPr>
        <w:t xml:space="preserve">Pe baza declarațiilor februarie – iulie 2026 și a colectării din iulie și august 2026:</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1350"/>
        <w:gridCol w:w="1350"/>
        <w:gridCol w:w="1350"/>
        <w:gridCol w:w="1350"/>
        <w:gridCol w:w="1460"/>
      </w:tblGrid>
      <w:tr>
        <w:trPr>
          <w:cantSplit/>
          <w:tblHeader/>
        </w:trPr>
        <w:tc>
          <w:tcPr>
            <w:tcW w:type="dxa" w:w="250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Categorie</w:t>
            </w:r>
          </w:p>
        </w:tc>
        <w:tc>
          <w:tcPr>
            <w:tcW w:type="dxa" w:w="135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Obligație (kg)</w:t>
            </w:r>
          </w:p>
        </w:tc>
        <w:tc>
          <w:tcPr>
            <w:tcW w:type="dxa" w:w="135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Min. propriu (kg)</w:t>
            </w:r>
          </w:p>
        </w:tc>
        <w:tc>
          <w:tcPr>
            <w:tcW w:type="dxa" w:w="135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Colectat propriu (kg)</w:t>
            </w:r>
          </w:p>
        </w:tc>
        <w:tc>
          <w:tcPr>
            <w:tcW w:type="dxa" w:w="135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Alocat (kg)</w:t>
            </w:r>
          </w:p>
        </w:tc>
        <w:tc>
          <w:tcPr>
            <w:tcW w:type="dxa" w:w="1460"/>
            <w:shd w:fill="1F4E79"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Îndeplinire</w:t>
            </w:r>
          </w:p>
        </w:tc>
      </w:tr>
      <w:tr>
        <w:trPr>
          <w:cantSplit/>
        </w:trPr>
        <w:tc>
          <w:tcPr>
            <w:tcW w:type="dxa" w:w="2500"/>
            <w:tcMar>
              <w:top w:type="dxa" w:w="60"/>
              <w:left w:type="dxa" w:w="100"/>
              <w:bottom w:type="dxa" w:w="60"/>
              <w:right w:type="dxa" w:w="100"/>
            </w:tcMar>
          </w:tcPr>
          <w:p>
            <w:pPr>
              <w:spacing w:after="0"/>
              <w:jc w:val="left"/>
            </w:pPr>
            <w:r>
              <w:rPr>
                <w:rFonts w:ascii="Calibri" w:cs="Calibri" w:eastAsia="Calibri" w:hAnsi="Calibri"/>
                <w:sz w:val="19"/>
                <w:szCs w:val="19"/>
              </w:rPr>
              <w:t xml:space="preserve">2 – Ecrane</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211,87</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63,56</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40,00</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188,31</w:t>
            </w:r>
          </w:p>
        </w:tc>
        <w:tc>
          <w:tcPr>
            <w:tcW w:type="dxa" w:w="1460"/>
            <w:tcMar>
              <w:top w:type="dxa" w:w="60"/>
              <w:left w:type="dxa" w:w="100"/>
              <w:bottom w:type="dxa" w:w="60"/>
              <w:right w:type="dxa" w:w="100"/>
            </w:tcMar>
          </w:tcPr>
          <w:p>
            <w:pPr>
              <w:spacing w:after="0"/>
              <w:jc w:val="right"/>
            </w:pPr>
            <w:r>
              <w:rPr>
                <w:rFonts w:ascii="Calibri" w:cs="Calibri" w:eastAsia="Calibri" w:hAnsi="Calibri"/>
                <w:sz w:val="19"/>
                <w:szCs w:val="19"/>
              </w:rPr>
              <w:t xml:space="preserve">88,88%</w:t>
            </w:r>
          </w:p>
        </w:tc>
      </w:tr>
      <w:tr>
        <w:trPr>
          <w:cantSplit/>
        </w:trPr>
        <w:tc>
          <w:tcPr>
            <w:tcW w:type="dxa" w:w="25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3 – Lămpi</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65,40</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65,40</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70,00</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65,40</w:t>
            </w:r>
          </w:p>
        </w:tc>
        <w:tc>
          <w:tcPr>
            <w:tcW w:type="dxa" w:w="146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100,00%</w:t>
            </w:r>
          </w:p>
        </w:tc>
      </w:tr>
      <w:tr>
        <w:trPr>
          <w:cantSplit/>
        </w:trPr>
        <w:tc>
          <w:tcPr>
            <w:tcW w:type="dxa" w:w="2500"/>
            <w:tcMar>
              <w:top w:type="dxa" w:w="60"/>
              <w:left w:type="dxa" w:w="100"/>
              <w:bottom w:type="dxa" w:w="60"/>
              <w:right w:type="dxa" w:w="100"/>
            </w:tcMar>
          </w:tcPr>
          <w:p>
            <w:pPr>
              <w:spacing w:after="0"/>
              <w:jc w:val="left"/>
            </w:pPr>
            <w:r>
              <w:rPr>
                <w:rFonts w:ascii="Calibri" w:cs="Calibri" w:eastAsia="Calibri" w:hAnsi="Calibri"/>
                <w:sz w:val="19"/>
                <w:szCs w:val="19"/>
              </w:rPr>
              <w:t xml:space="preserve">4 – Echip. mari</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351.169,61</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105.350,88</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1.400.000,00</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351.169,61</w:t>
            </w:r>
          </w:p>
        </w:tc>
        <w:tc>
          <w:tcPr>
            <w:tcW w:type="dxa" w:w="1460"/>
            <w:tcMar>
              <w:top w:type="dxa" w:w="60"/>
              <w:left w:type="dxa" w:w="100"/>
              <w:bottom w:type="dxa" w:w="60"/>
              <w:right w:type="dxa" w:w="100"/>
            </w:tcMar>
          </w:tcPr>
          <w:p>
            <w:pPr>
              <w:spacing w:after="0"/>
              <w:jc w:val="right"/>
            </w:pPr>
            <w:r>
              <w:rPr>
                <w:rFonts w:ascii="Calibri" w:cs="Calibri" w:eastAsia="Calibri" w:hAnsi="Calibri"/>
                <w:sz w:val="19"/>
                <w:szCs w:val="19"/>
              </w:rPr>
              <w:t xml:space="preserve">100,00%</w:t>
            </w:r>
          </w:p>
        </w:tc>
      </w:tr>
      <w:tr>
        <w:trPr>
          <w:cantSplit/>
        </w:trPr>
        <w:tc>
          <w:tcPr>
            <w:tcW w:type="dxa" w:w="25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5 – Echip. mici</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74.315,22</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22.294,57</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180.000,00</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74.315,22</w:t>
            </w:r>
          </w:p>
        </w:tc>
        <w:tc>
          <w:tcPr>
            <w:tcW w:type="dxa" w:w="146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100,00%</w:t>
            </w:r>
          </w:p>
        </w:tc>
      </w:tr>
      <w:tr>
        <w:trPr>
          <w:cantSplit/>
        </w:trPr>
        <w:tc>
          <w:tcPr>
            <w:tcW w:type="dxa" w:w="2500"/>
            <w:tcMar>
              <w:top w:type="dxa" w:w="60"/>
              <w:left w:type="dxa" w:w="100"/>
              <w:bottom w:type="dxa" w:w="60"/>
              <w:right w:type="dxa" w:w="100"/>
            </w:tcMar>
          </w:tcPr>
          <w:p>
            <w:pPr>
              <w:spacing w:after="0"/>
              <w:jc w:val="left"/>
            </w:pPr>
            <w:r>
              <w:rPr>
                <w:rFonts w:ascii="Calibri" w:cs="Calibri" w:eastAsia="Calibri" w:hAnsi="Calibri"/>
                <w:sz w:val="19"/>
                <w:szCs w:val="19"/>
              </w:rPr>
              <w:t xml:space="preserve">6 – IT&amp;C mici</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1.807,17</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542,15</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1.800,00</w:t>
            </w:r>
          </w:p>
        </w:tc>
        <w:tc>
          <w:tcPr>
            <w:tcW w:type="dxa" w:w="1350"/>
            <w:tcMar>
              <w:top w:type="dxa" w:w="60"/>
              <w:left w:type="dxa" w:w="100"/>
              <w:bottom w:type="dxa" w:w="60"/>
              <w:right w:type="dxa" w:w="100"/>
            </w:tcMar>
          </w:tcPr>
          <w:p>
            <w:pPr>
              <w:spacing w:after="0"/>
              <w:jc w:val="right"/>
            </w:pPr>
            <w:r>
              <w:rPr>
                <w:rFonts w:ascii="Calibri" w:cs="Calibri" w:eastAsia="Calibri" w:hAnsi="Calibri"/>
                <w:sz w:val="19"/>
                <w:szCs w:val="19"/>
              </w:rPr>
              <w:t xml:space="preserve">1.807,17</w:t>
            </w:r>
          </w:p>
        </w:tc>
        <w:tc>
          <w:tcPr>
            <w:tcW w:type="dxa" w:w="1460"/>
            <w:tcMar>
              <w:top w:type="dxa" w:w="60"/>
              <w:left w:type="dxa" w:w="100"/>
              <w:bottom w:type="dxa" w:w="60"/>
              <w:right w:type="dxa" w:w="100"/>
            </w:tcMar>
          </w:tcPr>
          <w:p>
            <w:pPr>
              <w:spacing w:after="0"/>
              <w:jc w:val="right"/>
            </w:pPr>
            <w:r>
              <w:rPr>
                <w:rFonts w:ascii="Calibri" w:cs="Calibri" w:eastAsia="Calibri" w:hAnsi="Calibri"/>
                <w:sz w:val="19"/>
                <w:szCs w:val="19"/>
              </w:rPr>
              <w:t xml:space="preserve">100,00%</w:t>
            </w:r>
          </w:p>
        </w:tc>
      </w:tr>
      <w:tr>
        <w:trPr>
          <w:cantSplit/>
        </w:trPr>
        <w:tc>
          <w:tcPr>
            <w:tcW w:type="dxa" w:w="25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4B – Panouri</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3.476.064,55</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0,00</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2.300.000,00</w:t>
            </w:r>
          </w:p>
        </w:tc>
        <w:tc>
          <w:tcPr>
            <w:tcW w:type="dxa" w:w="135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3.454.364,29</w:t>
            </w:r>
          </w:p>
        </w:tc>
        <w:tc>
          <w:tcPr>
            <w:tcW w:type="dxa" w:w="1460"/>
            <w:shd w:fill="F2F2F2" w:color="auto" w:val="clear"/>
            <w:tcMar>
              <w:top w:type="dxa" w:w="60"/>
              <w:left w:type="dxa" w:w="100"/>
              <w:bottom w:type="dxa" w:w="60"/>
              <w:right w:type="dxa" w:w="100"/>
            </w:tcMar>
          </w:tcPr>
          <w:p>
            <w:pPr>
              <w:spacing w:after="0"/>
              <w:jc w:val="right"/>
            </w:pPr>
            <w:r>
              <w:rPr>
                <w:rFonts w:ascii="Calibri" w:cs="Calibri" w:eastAsia="Calibri" w:hAnsi="Calibri"/>
                <w:sz w:val="19"/>
                <w:szCs w:val="19"/>
              </w:rPr>
              <w:t xml:space="preserve">99,38%</w:t>
            </w:r>
          </w:p>
        </w:tc>
      </w:tr>
      <w:tr>
        <w:trPr>
          <w:cantSplit/>
        </w:trPr>
        <w:tc>
          <w:tcPr>
            <w:tcW w:type="dxa" w:w="2500"/>
            <w:shd w:fill="DCE6F1" w:color="auto" w:val="clear"/>
            <w:tcMar>
              <w:top w:type="dxa" w:w="60"/>
              <w:left w:type="dxa" w:w="100"/>
              <w:bottom w:type="dxa" w:w="60"/>
              <w:right w:type="dxa" w:w="100"/>
            </w:tcMar>
          </w:tcPr>
          <w:p>
            <w:pPr>
              <w:spacing w:after="0"/>
              <w:jc w:val="left"/>
            </w:pPr>
            <w:r>
              <w:rPr>
                <w:rFonts w:ascii="Calibri" w:cs="Calibri" w:eastAsia="Calibri" w:hAnsi="Calibri"/>
                <w:b/>
                <w:bCs/>
                <w:sz w:val="19"/>
                <w:szCs w:val="19"/>
              </w:rPr>
              <w:t xml:space="preserve">TOTAL</w:t>
            </w:r>
          </w:p>
        </w:tc>
        <w:tc>
          <w:tcPr>
            <w:tcW w:type="dxa" w:w="135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3.903.633,82</w:t>
            </w:r>
          </w:p>
        </w:tc>
        <w:tc>
          <w:tcPr>
            <w:tcW w:type="dxa" w:w="135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128.316,57</w:t>
            </w:r>
          </w:p>
        </w:tc>
        <w:tc>
          <w:tcPr>
            <w:tcW w:type="dxa" w:w="135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3.881.910,00</w:t>
            </w:r>
          </w:p>
        </w:tc>
        <w:tc>
          <w:tcPr>
            <w:tcW w:type="dxa" w:w="135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3.881.910,00</w:t>
            </w:r>
          </w:p>
        </w:tc>
        <w:tc>
          <w:tcPr>
            <w:tcW w:type="dxa" w:w="1460"/>
            <w:shd w:fill="DCE6F1" w:color="auto" w:val="clear"/>
            <w:tcMar>
              <w:top w:type="dxa" w:w="60"/>
              <w:left w:type="dxa" w:w="100"/>
              <w:bottom w:type="dxa" w:w="60"/>
              <w:right w:type="dxa" w:w="100"/>
            </w:tcMar>
          </w:tcPr>
          <w:p>
            <w:pPr>
              <w:spacing w:after="0"/>
              <w:jc w:val="right"/>
            </w:pPr>
            <w:r>
              <w:rPr>
                <w:rFonts w:ascii="Calibri" w:cs="Calibri" w:eastAsia="Calibri" w:hAnsi="Calibri"/>
                <w:b/>
                <w:bCs/>
                <w:sz w:val="19"/>
                <w:szCs w:val="19"/>
              </w:rPr>
              <w:t xml:space="preserve">99,44%</w:t>
            </w:r>
          </w:p>
        </w:tc>
      </w:tr>
    </w:tbl>
    <w:p>
      <w:pPr>
        <w:spacing w:after="120" w:before="120"/>
      </w:pPr>
      <w:r>
        <w:rPr>
          <w:rFonts w:ascii="Calibri" w:cs="Calibri" w:eastAsia="Calibri" w:hAnsi="Calibri"/>
          <w:sz w:val="21"/>
          <w:szCs w:val="21"/>
        </w:rPr>
        <w:t xml:space="preserve">Defalcarea pe luni a cantităților alocate: 3.331.380,00 kg în iulie și 550.530,00 kg în august.</w:t>
      </w:r>
    </w:p>
    <w:p>
      <w:pPr>
        <w:spacing w:after="120" w:before="120"/>
      </w:pPr>
      <w:r>
        <w:rPr>
          <w:rFonts w:ascii="Calibri" w:cs="Calibri" w:eastAsia="Calibri" w:hAnsi="Calibri"/>
          <w:sz w:val="21"/>
          <w:szCs w:val="21"/>
        </w:rPr>
        <w:t xml:space="preserve">Aspecte de urmărit:</w:t>
      </w:r>
    </w:p>
    <w:p>
      <w:pPr>
        <w:pStyle w:val="ListParagraph"/>
        <w:numPr>
          <w:ilvl w:val="0"/>
          <w:numId w:val="3"/>
        </w:numPr>
        <w:spacing w:after="80"/>
      </w:pPr>
      <w:r>
        <w:rPr>
          <w:rFonts w:ascii="Calibri" w:cs="Calibri" w:eastAsia="Calibri" w:hAnsi="Calibri"/>
          <w:sz w:val="21"/>
          <w:szCs w:val="21"/>
        </w:rPr>
        <w:t xml:space="preserve">Ecrane – s-au colectat 40,00 kg din categoria proprie, față de minimul obligatoriu de 63,56 kg. Diferența de 23,56 kg nu poate fi substituită, deci categoria se blochează la 88,88% până când se colectează ecrane suplimentare.</w:t>
      </w:r>
    </w:p>
    <w:p>
      <w:pPr>
        <w:pStyle w:val="ListParagraph"/>
        <w:numPr>
          <w:ilvl w:val="0"/>
          <w:numId w:val="3"/>
        </w:numPr>
        <w:spacing w:after="80"/>
      </w:pPr>
      <w:r>
        <w:rPr>
          <w:rFonts w:ascii="Calibri" w:cs="Calibri" w:eastAsia="Calibri" w:hAnsi="Calibri"/>
          <w:sz w:val="21"/>
          <w:szCs w:val="21"/>
        </w:rPr>
        <w:t xml:space="preserve">Panouri fotovoltaice – lipsesc 21.700,26 kg pentru acoperirea integrală; aceștia pot proveni din orice categorie colectată suplimentar.</w:t>
      </w:r>
    </w:p>
    <w:p>
      <w:pPr>
        <w:pStyle w:val="ListParagraph"/>
        <w:numPr>
          <w:ilvl w:val="0"/>
          <w:numId w:val="3"/>
        </w:numPr>
        <w:spacing w:after="80"/>
      </w:pPr>
      <w:r>
        <w:rPr>
          <w:rFonts w:ascii="Calibri" w:cs="Calibri" w:eastAsia="Calibri" w:hAnsi="Calibri"/>
          <w:sz w:val="21"/>
          <w:szCs w:val="21"/>
        </w:rPr>
        <w:t xml:space="preserve">Întregul colectat disponibil este alocat, pool-ul rămas fiind zero. Creșterea gradului de îndeplinire depinde exclusiv de cantități noi colectate.</w:t>
      </w:r>
    </w:p>
    <w:p>
      <w:pPr>
        <w:pStyle w:val="Heading1"/>
        <w:spacing w:after="140" w:before="320"/>
      </w:pPr>
      <w:r>
        <w:rPr>
          <w:rFonts w:ascii="Calibri" w:cs="Calibri" w:eastAsia="Calibri" w:hAnsi="Calibri"/>
          <w:b/>
          <w:bCs/>
          <w:color w:val="1F4E79"/>
          <w:sz w:val="30"/>
          <w:szCs w:val="30"/>
        </w:rPr>
        <w:t xml:space="preserve">10. Structura fișierului de lucru</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460"/>
      </w:tblGrid>
      <w:tr>
        <w:trPr>
          <w:cantSplit/>
          <w:tblHeader/>
        </w:trPr>
        <w:tc>
          <w:tcPr>
            <w:tcW w:type="dxa" w:w="190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Foaie</w:t>
            </w:r>
          </w:p>
        </w:tc>
        <w:tc>
          <w:tcPr>
            <w:tcW w:type="dxa" w:w="7460"/>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Conținut</w:t>
            </w:r>
          </w:p>
        </w:tc>
      </w:tr>
      <w:tr>
        <w:trPr>
          <w:cantSplit/>
        </w:trPr>
        <w:tc>
          <w:tcPr>
            <w:tcW w:type="dxa" w:w="1900"/>
            <w:tcMar>
              <w:top w:type="dxa" w:w="60"/>
              <w:left w:type="dxa" w:w="100"/>
              <w:bottom w:type="dxa" w:w="60"/>
              <w:right w:type="dxa" w:w="100"/>
            </w:tcMar>
          </w:tcPr>
          <w:p>
            <w:pPr>
              <w:spacing w:after="0"/>
              <w:jc w:val="left"/>
            </w:pPr>
            <w:r>
              <w:rPr>
                <w:rFonts w:ascii="Calibri" w:cs="Calibri" w:eastAsia="Calibri" w:hAnsi="Calibri"/>
                <w:sz w:val="19"/>
                <w:szCs w:val="19"/>
              </w:rPr>
              <w:t xml:space="preserve">Raport EEE</w:t>
            </w:r>
          </w:p>
        </w:tc>
        <w:tc>
          <w:tcPr>
            <w:tcW w:type="dxa" w:w="7460"/>
            <w:tcMar>
              <w:top w:type="dxa" w:w="60"/>
              <w:left w:type="dxa" w:w="100"/>
              <w:bottom w:type="dxa" w:w="60"/>
              <w:right w:type="dxa" w:w="100"/>
            </w:tcMar>
          </w:tcPr>
          <w:p>
            <w:pPr>
              <w:spacing w:after="0"/>
              <w:jc w:val="left"/>
            </w:pPr>
            <w:r>
              <w:rPr>
                <w:rFonts w:ascii="Calibri" w:cs="Calibri" w:eastAsia="Calibri" w:hAnsi="Calibri"/>
                <w:sz w:val="19"/>
                <w:szCs w:val="19"/>
              </w:rPr>
              <w:t xml:space="preserve">Datele sursă: declarațiile lunare pe client, categorie și subcategorie (rândurile 13–148).</w:t>
            </w:r>
          </w:p>
        </w:tc>
      </w:tr>
      <w:tr>
        <w:trPr>
          <w:cantSplit/>
        </w:trPr>
        <w:tc>
          <w:tcPr>
            <w:tcW w:type="dxa" w:w="19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Procente</w:t>
            </w:r>
          </w:p>
        </w:tc>
        <w:tc>
          <w:tcPr>
            <w:tcW w:type="dxa" w:w="746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Ponderea fiecărui client din totalul declarat și ponderea fiecărei categorii; în plus, ponderea fiecărui client în interiorul categoriei sale.</w:t>
            </w:r>
          </w:p>
        </w:tc>
      </w:tr>
      <w:tr>
        <w:trPr>
          <w:cantSplit/>
        </w:trPr>
        <w:tc>
          <w:tcPr>
            <w:tcW w:type="dxa" w:w="1900"/>
            <w:tcMar>
              <w:top w:type="dxa" w:w="60"/>
              <w:left w:type="dxa" w:w="100"/>
              <w:bottom w:type="dxa" w:w="60"/>
              <w:right w:type="dxa" w:w="100"/>
            </w:tcMar>
          </w:tcPr>
          <w:p>
            <w:pPr>
              <w:spacing w:after="0"/>
              <w:jc w:val="left"/>
            </w:pPr>
            <w:r>
              <w:rPr>
                <w:rFonts w:ascii="Calibri" w:cs="Calibri" w:eastAsia="Calibri" w:hAnsi="Calibri"/>
                <w:sz w:val="19"/>
                <w:szCs w:val="19"/>
              </w:rPr>
              <w:t xml:space="preserve">Colectat</w:t>
            </w:r>
          </w:p>
        </w:tc>
        <w:tc>
          <w:tcPr>
            <w:tcW w:type="dxa" w:w="7460"/>
            <w:tcMar>
              <w:top w:type="dxa" w:w="60"/>
              <w:left w:type="dxa" w:w="100"/>
              <w:bottom w:type="dxa" w:w="60"/>
              <w:right w:type="dxa" w:w="100"/>
            </w:tcMar>
          </w:tcPr>
          <w:p>
            <w:pPr>
              <w:spacing w:after="0"/>
              <w:jc w:val="left"/>
            </w:pPr>
            <w:r>
              <w:rPr>
                <w:rFonts w:ascii="Calibri" w:cs="Calibri" w:eastAsia="Calibri" w:hAnsi="Calibri"/>
                <w:sz w:val="19"/>
                <w:szCs w:val="19"/>
              </w:rPr>
              <w:t xml:space="preserve">Cantitățile colectate pe categorie, pe luni (coloana B – iulie, coloana C – august). Aici se adaugă lunile următoare.</w:t>
            </w:r>
          </w:p>
        </w:tc>
      </w:tr>
      <w:tr>
        <w:trPr>
          <w:cantSplit/>
        </w:trPr>
        <w:tc>
          <w:tcPr>
            <w:tcW w:type="dxa" w:w="190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Alocare colectat</w:t>
            </w:r>
          </w:p>
        </w:tc>
        <w:tc>
          <w:tcPr>
            <w:tcW w:type="dxa" w:w="7460"/>
            <w:shd w:fill="F2F2F2" w:color="auto" w:val="clear"/>
            <w:tcMar>
              <w:top w:type="dxa" w:w="60"/>
              <w:left w:type="dxa" w:w="100"/>
              <w:bottom w:type="dxa" w:w="60"/>
              <w:right w:type="dxa" w:w="100"/>
            </w:tcMar>
          </w:tcPr>
          <w:p>
            <w:pPr>
              <w:spacing w:after="0"/>
              <w:jc w:val="left"/>
            </w:pPr>
            <w:r>
              <w:rPr>
                <w:rFonts w:ascii="Calibri" w:cs="Calibri" w:eastAsia="Calibri" w:hAnsi="Calibri"/>
                <w:sz w:val="19"/>
                <w:szCs w:val="19"/>
              </w:rPr>
              <w:t xml:space="preserve">Modelul de alocare: obligații, pool, plafoane de substituție, alocări pe categorie și pe client, defalcate pe luni.</w:t>
            </w:r>
          </w:p>
        </w:tc>
      </w:tr>
      <w:tr>
        <w:trPr>
          <w:cantSplit/>
        </w:trPr>
        <w:tc>
          <w:tcPr>
            <w:tcW w:type="dxa" w:w="1900"/>
            <w:tcMar>
              <w:top w:type="dxa" w:w="60"/>
              <w:left w:type="dxa" w:w="100"/>
              <w:bottom w:type="dxa" w:w="60"/>
              <w:right w:type="dxa" w:w="100"/>
            </w:tcMar>
          </w:tcPr>
          <w:p>
            <w:pPr>
              <w:spacing w:after="0"/>
              <w:jc w:val="left"/>
            </w:pPr>
            <w:r>
              <w:rPr>
                <w:rFonts w:ascii="Calibri" w:cs="Calibri" w:eastAsia="Calibri" w:hAnsi="Calibri"/>
                <w:sz w:val="19"/>
                <w:szCs w:val="19"/>
              </w:rPr>
              <w:t xml:space="preserve">Exemplu regulă</w:t>
            </w:r>
          </w:p>
        </w:tc>
        <w:tc>
          <w:tcPr>
            <w:tcW w:type="dxa" w:w="7460"/>
            <w:tcMar>
              <w:top w:type="dxa" w:w="60"/>
              <w:left w:type="dxa" w:w="100"/>
              <w:bottom w:type="dxa" w:w="60"/>
              <w:right w:type="dxa" w:w="100"/>
            </w:tcMar>
          </w:tcPr>
          <w:p>
            <w:pPr>
              <w:spacing w:after="0"/>
              <w:jc w:val="left"/>
            </w:pPr>
            <w:r>
              <w:rPr>
                <w:rFonts w:ascii="Calibri" w:cs="Calibri" w:eastAsia="Calibri" w:hAnsi="Calibri"/>
                <w:sz w:val="19"/>
                <w:szCs w:val="19"/>
              </w:rPr>
              <w:t xml:space="preserve">Verificarea regulii pe un caz simplu de 100 kg declarate.</w:t>
            </w:r>
          </w:p>
        </w:tc>
      </w:tr>
    </w:tbl>
    <w:p>
      <w:pPr>
        <w:spacing w:after="120" w:before="140"/>
      </w:pPr>
      <w:r>
        <w:rPr>
          <w:rFonts w:ascii="Calibri" w:cs="Calibri" w:eastAsia="Calibri" w:hAnsi="Calibri"/>
          <w:sz w:val="21"/>
          <w:szCs w:val="21"/>
        </w:rPr>
        <w:t xml:space="preserve">Celulele de intrare sunt marcate cu fundal galben și scris albastru: rata de colectare (C3) și pragul minim din categoria proprie (C4) din foaia „Alocare colectat". Toate celelalte valori sunt formule și se recalculează automat.</w:t>
      </w:r>
    </w:p>
    <w:p>
      <w:pPr>
        <w:spacing w:after="120" w:before="0"/>
      </w:pPr>
      <w:r>
        <w:rPr>
          <w:rFonts w:ascii="Calibri" w:cs="Calibri" w:eastAsia="Calibri" w:hAnsi="Calibri"/>
          <w:sz w:val="21"/>
          <w:szCs w:val="21"/>
        </w:rPr>
        <w:t xml:space="preserve">Adăugarea unei luni noi presupune două operațiuni: completarea unei coloane suplimentare în foaia „Colectat" și extinderea corespunzătoare a coloanelor de colectat din modelul de alocare.</w:t>
      </w:r>
    </w:p>
    <w:p>
      <w:pPr>
        <w:pStyle w:val="Heading1"/>
        <w:spacing w:after="140" w:before="320"/>
      </w:pPr>
      <w:r>
        <w:rPr>
          <w:rFonts w:ascii="Calibri" w:cs="Calibri" w:eastAsia="Calibri" w:hAnsi="Calibri"/>
          <w:b/>
          <w:bCs/>
          <w:color w:val="1F4E79"/>
          <w:sz w:val="30"/>
          <w:szCs w:val="30"/>
        </w:rPr>
        <w:t xml:space="preserve">11. Limitări cunoscute</w:t>
      </w:r>
    </w:p>
    <w:p>
      <w:pPr>
        <w:pStyle w:val="ListParagraph"/>
        <w:numPr>
          <w:ilvl w:val="0"/>
          <w:numId w:val="3"/>
        </w:numPr>
        <w:spacing w:after="80"/>
      </w:pPr>
      <w:r>
        <w:rPr>
          <w:rFonts w:ascii="Calibri" w:cs="Calibri" w:eastAsia="Calibri" w:hAnsi="Calibri"/>
          <w:sz w:val="21"/>
          <w:szCs w:val="21"/>
        </w:rPr>
        <w:t xml:space="preserve">Modelul tratează anul ca un întreg: obligația este anuală, iar lunile sunt doar o defalcare a rezultatului, nu ținte lunare separate.</w:t>
      </w:r>
    </w:p>
    <w:p>
      <w:pPr>
        <w:pStyle w:val="ListParagraph"/>
        <w:numPr>
          <w:ilvl w:val="0"/>
          <w:numId w:val="3"/>
        </w:numPr>
        <w:spacing w:after="80"/>
      </w:pPr>
      <w:r>
        <w:rPr>
          <w:rFonts w:ascii="Calibri" w:cs="Calibri" w:eastAsia="Calibri" w:hAnsi="Calibri"/>
          <w:sz w:val="21"/>
          <w:szCs w:val="21"/>
        </w:rPr>
        <w:t xml:space="preserve">Alocarea pe clienți este strict proporțională cu declarațiile; nu ține cont de contracte individuale care ar prevedea alte niveluri de serviciu.</w:t>
      </w:r>
    </w:p>
    <w:p>
      <w:pPr>
        <w:pStyle w:val="ListParagraph"/>
        <w:numPr>
          <w:ilvl w:val="0"/>
          <w:numId w:val="3"/>
        </w:numPr>
        <w:spacing w:after="80"/>
      </w:pPr>
      <w:r>
        <w:rPr>
          <w:rFonts w:ascii="Calibri" w:cs="Calibri" w:eastAsia="Calibri" w:hAnsi="Calibri"/>
          <w:sz w:val="21"/>
          <w:szCs w:val="21"/>
        </w:rPr>
        <w:t xml:space="preserve">Defalcarea pe luni a părții provenite din pool este o repartizare proporțională, nu o trasabilitate fizică a transporturilor.</w:t>
      </w:r>
    </w:p>
    <w:p>
      <w:pPr>
        <w:pStyle w:val="ListParagraph"/>
        <w:numPr>
          <w:ilvl w:val="0"/>
          <w:numId w:val="3"/>
        </w:numPr>
        <w:spacing w:after="80"/>
      </w:pPr>
      <w:r>
        <w:rPr>
          <w:rFonts w:ascii="Calibri" w:cs="Calibri" w:eastAsia="Calibri" w:hAnsi="Calibri"/>
          <w:sz w:val="21"/>
          <w:szCs w:val="21"/>
        </w:rPr>
        <w:t xml:space="preserve">Ordinea de distribuire a pool-ului influențează rezultatul atunci când surplusul este insuficient pentru toate categoriile; ordinea curentă favorizează categoriile cu restricții mai stricte.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2026-09-01T09:58:40.227Z</dcterms:created>
  <dcterms:modified xsi:type="dcterms:W3CDTF">2026-09-01T09:58:40.227Z</dcterms:modified>
</cp:coreProperties>
</file>

<file path=docProps/custom.xml><?xml version="1.0" encoding="utf-8"?>
<Properties xmlns="http://schemas.openxmlformats.org/officeDocument/2006/custom-properties" xmlns:vt="http://schemas.openxmlformats.org/officeDocument/2006/docPropsVTypes"/>
</file>