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emf" ContentType="image/x-emf"/>
  <Override PartName="/word/media/image1.png" ContentType="image/png"/>
  <Override PartName="/word/media/image3.emf" ContentType="image/x-emf"/>
  <Override PartName="/word/media/image4.emf" ContentType="image/x-emf"/>
  <Override PartName="/word/media/image5.emf" ContentType="image/x-emf"/>
  <Override PartName="/word/media/image6.png" ContentType="image/png"/>
  <Override PartName="/word/media/image7.png" ContentType="image/png"/>
  <Override PartName="/word/media/image8.png" ContentType="image/png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uppressAutoHyphens w:val="true"/>
        <w:spacing w:lineRule="auto" w:line="360"/>
        <w:ind w:right="62" w:hanging="0"/>
        <w:jc w:val="both"/>
        <w:rPr/>
      </w:pPr>
      <w:r>
        <w:rPr/>
      </w:r>
      <w:bookmarkStart w:id="0" w:name="_Toc406447312"/>
      <w:bookmarkStart w:id="1" w:name="_Toc406447312"/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  <w:t xml:space="preserve">Протокол проведения анализа блокчейна Exonum на соответствие описанию и тактико-техническим характеристикам опубликованных разработчиками блокчейна </w:t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sz w:val="28"/>
          <w:szCs w:val="28"/>
        </w:rPr>
      </w:pPr>
      <w:r>
        <w:rPr>
          <w:rFonts w:eastAsia="Verdana" w:cs="Times New Roman" w:ascii="Times New Roman" w:hAnsi="Times New Roman"/>
          <w:sz w:val="28"/>
          <w:szCs w:val="28"/>
        </w:rPr>
        <w:t>Москва 2019</w:t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1"/>
        <w:numPr>
          <w:ilvl w:val="0"/>
          <w:numId w:val="2"/>
        </w:numPr>
        <w:rPr/>
      </w:pPr>
      <w:bookmarkStart w:id="2" w:name="_Toc406447312"/>
      <w:r>
        <w:rPr/>
        <w:t>Объект исследований</w:t>
      </w:r>
      <w:bookmarkEnd w:id="2"/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Объектом исследований является библиотека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— это фреймворк с открытым исходным кодом для создания приложений на основе блокчейна. Библиотека </w:t>
      </w:r>
      <w:hyperlink r:id="rId2"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Exonum</w:t>
        </w:r>
      </w:hyperlink>
      <w:r>
        <w:rPr>
          <w:rStyle w:val="Style6"/>
          <w:rFonts w:cs="Courier New" w:ascii="Courier New" w:hAnsi="Courier New"/>
          <w:i/>
          <w:color w:val="auto"/>
          <w:u w:val="none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— ядро блокчейна, создана на языке программирования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Rust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Библиотека </w:t>
      </w:r>
      <w:hyperlink r:id="rId3"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Exonum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содержит реализацию пиринговой сети, консенсуса, системы хранения данных блокчейна и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Web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-сервера для взаимодействия с пользователем. </w:t>
      </w:r>
    </w:p>
    <w:p>
      <w:pPr>
        <w:pStyle w:val="1"/>
        <w:numPr>
          <w:ilvl w:val="0"/>
          <w:numId w:val="2"/>
        </w:numPr>
        <w:rPr/>
      </w:pPr>
      <w:bookmarkStart w:id="3" w:name="_Toc406447314"/>
      <w:r>
        <w:rPr/>
        <w:t>Цель исследований</w:t>
      </w:r>
      <w:bookmarkEnd w:id="3"/>
    </w:p>
    <w:p>
      <w:pPr>
        <w:pStyle w:val="Style17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Целью исследований являлся анализ официальной документации фреймворка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Exonum,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на русском и английском языках, оценка соответствия исходных текстов документации, а также проверка скоростных показателей блокчейна, которые, по заявлению разработчика, составляют до 7000 транзакций в секунду, с 2,5 секундной задержкой очистки (интервал между генерацией транзакции и включением ее в блок).</w:t>
      </w:r>
    </w:p>
    <w:p>
      <w:pPr>
        <w:pStyle w:val="Style17"/>
        <w:suppressAutoHyphens w:val="false"/>
        <w:spacing w:lineRule="auto" w:line="360" w:before="0" w:after="0"/>
        <w:ind w:hanging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В ходе проведения исследований проверке подлежали:</w:t>
      </w:r>
    </w:p>
    <w:p>
      <w:pPr>
        <w:pStyle w:val="BodyTextIndent2"/>
        <w:widowControl w:val="false"/>
        <w:numPr>
          <w:ilvl w:val="0"/>
          <w:numId w:val="5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документация библиотеки на русском и английском языках, опубликованная в интернете, на сайте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https://exonum.com</w:t>
      </w:r>
      <w:r>
        <w:rPr>
          <w:rFonts w:cs="Calibri Light" w:ascii="Calibri Light" w:hAnsi="Calibri Light" w:asciiTheme="majorHAnsi" w:cstheme="majorHAnsi" w:hAnsiTheme="majorHAnsi"/>
        </w:rPr>
        <w:t>;</w:t>
      </w:r>
    </w:p>
    <w:p>
      <w:pPr>
        <w:pStyle w:val="BodyTextIndent2"/>
        <w:widowControl w:val="false"/>
        <w:numPr>
          <w:ilvl w:val="0"/>
          <w:numId w:val="5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исходный код библиотеки, скачанный по адресу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https://github.com/exonum</w:t>
      </w:r>
      <w:r>
        <w:rPr>
          <w:rFonts w:cs="Calibri Light" w:ascii="Calibri Light" w:hAnsi="Calibri Light" w:asciiTheme="majorHAnsi" w:cstheme="majorHAnsi" w:hAnsiTheme="majorHAnsi"/>
        </w:rPr>
        <w:t>.</w:t>
      </w:r>
    </w:p>
    <w:p>
      <w:pPr>
        <w:pStyle w:val="Style17"/>
        <w:suppressAutoHyphens w:val="false"/>
        <w:spacing w:lineRule="auto" w:line="360" w:before="0" w:after="0"/>
        <w:ind w:hanging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Исследования 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библиотеки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Exonum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проводились в следующем порядке</w:t>
      </w:r>
      <w:r>
        <w:rPr>
          <w:rFonts w:cs="Calibri Light" w:ascii="Calibri Light" w:hAnsi="Calibri Light" w:asciiTheme="majorHAnsi" w:cstheme="majorHAnsi" w:hAnsiTheme="majorHAnsi"/>
        </w:rPr>
        <w:t>:</w:t>
      </w:r>
    </w:p>
    <w:p>
      <w:pPr>
        <w:pStyle w:val="Style18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изучение документации;</w:t>
      </w:r>
    </w:p>
    <w:p>
      <w:pPr>
        <w:pStyle w:val="Style18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изучение исходных текстов библиотеки;</w:t>
      </w:r>
    </w:p>
    <w:p>
      <w:pPr>
        <w:pStyle w:val="Style18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анализ исходных текстов библиотеки;</w:t>
      </w:r>
    </w:p>
    <w:p>
      <w:pPr>
        <w:pStyle w:val="Style18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тестирование библиотеки с помощью содержащихся в ней примеров; </w:t>
      </w:r>
    </w:p>
    <w:p>
      <w:pPr>
        <w:pStyle w:val="Style18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оценка полученных результатов.</w:t>
      </w:r>
    </w:p>
    <w:p>
      <w:pPr>
        <w:pStyle w:val="Style18"/>
        <w:suppressAutoHyphens w:val="false"/>
        <w:spacing w:lineRule="auto" w:line="360" w:before="0" w:after="0"/>
        <w:ind w:left="879" w:hanging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1"/>
        <w:numPr>
          <w:ilvl w:val="0"/>
          <w:numId w:val="2"/>
        </w:numPr>
        <w:rPr/>
      </w:pPr>
      <w:r>
        <w:rPr/>
        <w:t xml:space="preserve">Описание библиотеки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Exonum</w:t>
      </w:r>
    </w:p>
    <w:p>
      <w:pPr>
        <w:pStyle w:val="Normal"/>
        <w:spacing w:lineRule="auto" w:line="36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На основании изучения документации и исходных кодов библиотеки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было сформировано описание архитектуры блокчейна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которую можно представить, как совокупность следующих компонентов: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сервисы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транзакции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и сообщения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консенсус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компонента взаимодействия узлов сети блокчейна;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база данных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.</w:t>
      </w:r>
    </w:p>
    <w:p>
      <w:pPr>
        <w:pStyle w:val="Normal"/>
        <w:spacing w:lineRule="auto" w:line="36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2"/>
        <w:numPr>
          <w:ilvl w:val="1"/>
          <w:numId w:val="2"/>
        </w:numPr>
        <w:rPr/>
      </w:pPr>
      <w:r>
        <w:rPr/>
        <w:t>Сервисы</w:t>
      </w:r>
    </w:p>
    <w:p>
      <w:pPr>
        <w:pStyle w:val="NormalWeb"/>
        <w:spacing w:lineRule="auto" w:line="360" w:beforeAutospacing="0" w:before="240" w:afterAutospacing="0" w:after="240"/>
        <w:ind w:firstLine="45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Сервисы являются основной для расширения платформы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 Сама по себе</w:t>
      </w:r>
      <w:r>
        <w:rPr>
          <w:rFonts w:cs="Helvetica" w:ascii="Helvetica" w:hAnsi="Helvetica"/>
          <w:sz w:val="28"/>
          <w:szCs w:val="28"/>
        </w:rPr>
        <w:t> 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библиотека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предоставляет интерфейс для создания блокчейнов. Библиотека не поставляется с какими-либо конкретными правилами обработки транзакций. Поэтому для создания блокчейна на платформе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необходимо начинать с создания сервисов.</w:t>
      </w:r>
    </w:p>
    <w:p>
      <w:pPr>
        <w:pStyle w:val="NormalWeb"/>
        <w:spacing w:lineRule="auto" w:line="360" w:beforeAutospacing="0" w:before="240" w:afterAutospacing="0" w:after="240"/>
        <w:ind w:firstLine="45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Каждый сервис имеет четко определенный интерфейс для связи с внешним миром - по сути, набором конечных точек - и реализацией указанного интерфейса. Сервисы выполняются на каждом узле сети блокчейна.</w:t>
      </w:r>
    </w:p>
    <w:p>
      <w:pPr>
        <w:pStyle w:val="2"/>
        <w:numPr>
          <w:ilvl w:val="1"/>
          <w:numId w:val="2"/>
        </w:numPr>
        <w:rPr/>
      </w:pPr>
      <w:r>
        <w:rPr/>
        <w:t>Транзакции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/>
      </w:pPr>
      <w:r>
        <w:rPr>
          <w:rStyle w:val="Style6"/>
          <w:rFonts w:cs="Calibri Light" w:ascii="Calibri Light" w:hAnsi="Calibri Light" w:asciiTheme="majorHAnsi" w:cstheme="majorHAnsi" w:hAnsiTheme="majorHAnsi"/>
          <w:color w:val="auto"/>
          <w:sz w:val="28"/>
          <w:szCs w:val="28"/>
          <w:u w:val="none"/>
        </w:rPr>
        <w:t>Транзакции</w:t>
      </w:r>
      <w:r>
        <w:rPr>
          <w:rStyle w:val="Style6"/>
          <w:color w:val="auto"/>
          <w:u w:val="none"/>
        </w:rPr>
        <w:t xml:space="preserve"> 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Style w:val="Style6"/>
          <w:color w:val="auto"/>
          <w:u w:val="none"/>
        </w:rPr>
        <w:t>, </w:t>
      </w:r>
      <w:hyperlink r:id="rId4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как и в обычных базах данных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представляют собой группу последовательных операций. Правила обработки транзакций определены в </w:t>
      </w:r>
      <w:hyperlink r:id="rId5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сервисах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которые определяют бизнес-логику любого блокчейна на базе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Транзакции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заключены в </w:t>
      </w:r>
      <w:r>
        <w:fldChar w:fldCharType="begin"/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instrText> HYPERLINK "https://exonum.com/doc/version/latest/architecture/transactions/" \l "messages"</w:instrText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fldChar w:fldCharType="separate"/>
      </w:r>
      <w:r>
        <w:rPr>
          <w:rStyle w:val="Style6"/>
          <w:rFonts w:cs="Calibri Light" w:ascii="Calibri Light" w:hAnsi="Calibri Light" w:asciiTheme="majorHAnsi" w:cstheme="majorHAnsi" w:hAnsiTheme="majorHAnsi"/>
          <w:color w:val="auto"/>
          <w:sz w:val="28"/>
          <w:szCs w:val="28"/>
          <w:u w:val="none"/>
        </w:rPr>
        <w:t>сообщения</w:t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fldChar w:fldCharType="end"/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 Сообщение содержит транзакцию, открытый ключ автора сообщения, тип и класс сообщения и подпись сообщения. Этот подход позволяет разделить на основании анализа полей сообщения бизнес-логику обработки транзакции и выделить данные, относящиеся к авторизации.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Транзакции выполняются </w:t>
      </w:r>
      <w:hyperlink r:id="rId6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атомарно, последовательно, изолированно и с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неизменяемым результатом. Если выполнение транзакции нарушает определенные инварианты данных, транзакция полностью откатывается, так что она не влияет на постоянное хранилище.</w:t>
      </w:r>
    </w:p>
    <w:p>
      <w:pPr>
        <w:pStyle w:val="Admonitiontitle"/>
        <w:spacing w:lineRule="auto" w:line="360"/>
        <w:ind w:firstLine="576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Если транзакция верна, ее можно включить в блок посредством </w:t>
      </w:r>
      <w:hyperlink r:id="rId7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алгоритма консенсуса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осуществляемого валидаторами блокчейна. Консенсус предусматривает </w:t>
      </w:r>
      <w:hyperlink r:id="rId8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упорядочивание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всех транзакций; из любых двух транзакций в блокчейне всегда можно определить, какая из них будет первой. Транзакции последовательно помещаются в хранилище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в том же порядке, в котором они помещаются в блокчейн.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Все транзакции аутентифицируются с помощью цифровых подписей с открытым ключом. Сообщение, содержащее транзакцию, включает в себя ключ проверки подписи - открытый ключ. 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Все транзакции 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сериализуются с использованием внешней библиотеки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Protobuf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360"/>
        <w:ind w:firstLine="576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Каждая уникальная сериализация сообщения транзакции хэшируется с помощью </w:t>
      </w:r>
      <w:hyperlink r:id="rId9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 xml:space="preserve">хэш-функции </w:t>
        </w:r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SHA-256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 Хеш транзакции принимается за всю сериализацию транзакции. Хеши используются в качестве уникальных идентификаторов для транзакций, где такой идентификатор необходим (например, при определении, была ли конкретная транзакция совершена ранее).</w:t>
      </w:r>
    </w:p>
    <w:p>
      <w:pPr>
        <w:pStyle w:val="NormalWeb"/>
        <w:spacing w:lineRule="auto" w:line="360"/>
        <w:ind w:firstLine="576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Жизненный цикл транзакций включает в себя следующие фазы:</w:t>
      </w:r>
    </w:p>
    <w:p>
      <w:pPr>
        <w:pStyle w:val="3"/>
        <w:numPr>
          <w:ilvl w:val="0"/>
          <w:numId w:val="4"/>
        </w:numPr>
        <w:rPr/>
      </w:pPr>
      <w:r>
        <w:rPr/>
        <w:t>Создание. Транзакция создается внешним объектом (например, </w:t>
      </w:r>
      <w:hyperlink r:id="rId10">
        <w:r>
          <w:rPr>
            <w:rStyle w:val="Style6"/>
            <w:color w:val="auto"/>
            <w:u w:val="none"/>
          </w:rPr>
          <w:t>легким клиентом</w:t>
        </w:r>
      </w:hyperlink>
      <w:r>
        <w:rPr/>
        <w:t>) и подписывается закрытым ключом, необходимым для авторизации транзакции.</w:t>
      </w:r>
    </w:p>
    <w:p>
      <w:pPr>
        <w:pStyle w:val="3"/>
        <w:numPr>
          <w:ilvl w:val="0"/>
          <w:numId w:val="4"/>
        </w:numPr>
        <w:rPr/>
      </w:pPr>
      <w:r>
        <w:rPr/>
        <w:t xml:space="preserve">Попадание в сеть. После создания, транзакция передается в сеть блокчейна. Обычно это выполняется легким клиентом, подключающимся к узлу сети блокчейна через </w:t>
      </w:r>
      <w:r>
        <w:rPr>
          <w:rStyle w:val="Style6"/>
          <w:rFonts w:cs="Courier New" w:ascii="Courier New" w:hAnsi="Courier New"/>
          <w:bCs w:val="false"/>
          <w:i/>
          <w:color w:val="auto"/>
          <w:kern w:val="0"/>
          <w:sz w:val="24"/>
          <w:szCs w:val="24"/>
          <w:u w:val="none"/>
          <w:lang w:eastAsia="ru-RU"/>
        </w:rPr>
        <w:t>Web</w:t>
      </w:r>
      <w:r>
        <w:rPr/>
        <w:t xml:space="preserve"> интерфейс.</w:t>
      </w:r>
    </w:p>
    <w:p>
      <w:pPr>
        <w:pStyle w:val="3"/>
        <w:numPr>
          <w:ilvl w:val="0"/>
          <w:numId w:val="4"/>
        </w:numPr>
        <w:rPr/>
      </w:pPr>
      <w:r>
        <w:rPr/>
        <w:t>Проверка. После того, как узел сети блокчейна получает транзакцию, он осуществляет ее поиск среди выполненных транзакций, используя хеш транзакции как уникальный идентификатор. Если транзакция была выполнена ранее, она отбрасывается, и следующие шаги не выполняются. Если проверка прошла успешно, транзакция добавляется в пул неподтвержденных транзакций; в противном случае она отбрасывается, а следующие шаги пропускаются.</w:t>
      </w:r>
    </w:p>
    <w:p>
      <w:pPr>
        <w:pStyle w:val="3"/>
        <w:numPr>
          <w:ilvl w:val="0"/>
          <w:numId w:val="4"/>
        </w:numPr>
        <w:rPr/>
      </w:pPr>
      <w:r>
        <w:rPr/>
        <w:t>Распространение по сети. Если транзакция, которая включена в пул неподтвержденных транзакций, получена узлом не от другого узла, транзакция передается всем узлам, к которым подключен данный узел. В частности, узел передает транзакции, полученные от легких клиентов, или сгенерированы</w:t>
      </w:r>
      <w:r>
        <w:rPr/>
        <w:t>е</w:t>
      </w:r>
      <w:r>
        <w:rPr/>
        <w:t xml:space="preserve"> сервисами, но не ретранслирует транзакции, передаваемые одноранговыми узлами, или полученные из </w:t>
      </w:r>
      <w:hyperlink r:id="rId11">
        <w:r>
          <w:rPr>
            <w:rStyle w:val="Style6"/>
            <w:color w:val="auto"/>
            <w:u w:val="none"/>
          </w:rPr>
          <w:t>запросов</w:t>
        </w:r>
      </w:hyperlink>
      <w:r>
        <w:rPr/>
        <w:t> во время выполнения консенсуса.</w:t>
      </w:r>
    </w:p>
    <w:p>
      <w:pPr>
        <w:pStyle w:val="3"/>
        <w:numPr>
          <w:ilvl w:val="0"/>
          <w:numId w:val="4"/>
        </w:numPr>
        <w:rPr/>
      </w:pPr>
      <w:r>
        <w:rPr/>
        <w:t>Консенсус. После того, как транзакция достигнет пула валидатора, она может быть включена в предложение блока (или несколько предложений). В настоящее время порядок включения транзакций в предложение определяется хешем транзакции. Валидатор принимает транзакции с наименьшими хешами при построении нового блока.</w:t>
      </w:r>
    </w:p>
    <w:p>
      <w:pPr>
        <w:pStyle w:val="3"/>
        <w:numPr>
          <w:ilvl w:val="0"/>
          <w:numId w:val="4"/>
        </w:numPr>
        <w:rPr/>
      </w:pPr>
      <w:r>
        <w:rPr/>
        <w:t>Добавление в блокчейн. Когда новый блок собирает достаточное количество голосов валидаторов, блок с транзакциями фиксируется в блокчейне. Все транзакции из зафиксированного блока последовательно применяются к состоянию блокчейна в том же порядке, в котором транзакции появляются в блоке. Следовательно, порядок применения одинаков для каждого узла в сети.</w:t>
      </w:r>
    </w:p>
    <w:p>
      <w:pPr>
        <w:pStyle w:val="2"/>
        <w:numPr>
          <w:ilvl w:val="1"/>
          <w:numId w:val="2"/>
        </w:numPr>
        <w:rPr/>
      </w:pPr>
      <w:r>
        <w:rPr/>
        <w:t>Сообщения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Сообщения представляют собой фрагменты данных с цифровой подписью, передаваемые по сети блокчейна, после принятия транзакции библиотекой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проверяется подпись сообщения. Все сообщения имеют единую структуру, которой они должны соответствовать, см. Талица 1.</w:t>
      </w:r>
    </w:p>
    <w:p>
      <w:pPr>
        <w:pStyle w:val="NormalWeb"/>
        <w:spacing w:beforeAutospacing="0" w:before="240" w:afterAutospacing="0" w:after="240"/>
        <w:ind w:firstLine="576"/>
        <w:jc w:val="right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Таблица 1. Структура сообщения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</w:t>
      </w:r>
    </w:p>
    <w:tbl>
      <w:tblPr>
        <w:tblW w:w="9406" w:type="dxa"/>
        <w:jc w:val="righ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532"/>
        <w:gridCol w:w="2873"/>
      </w:tblGrid>
      <w:tr>
        <w:trPr>
          <w:tblHeader w:val="true"/>
        </w:trPr>
        <w:tc>
          <w:tcPr>
            <w:tcW w:w="6532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>Позиция (в байтах)</w:t>
            </w:r>
          </w:p>
        </w:tc>
        <w:tc>
          <w:tcPr>
            <w:tcW w:w="2873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>Сохраненные данные</w:t>
            </w:r>
          </w:p>
        </w:tc>
      </w:tr>
      <w:tr>
        <w:trPr/>
        <w:tc>
          <w:tcPr>
            <w:tcW w:w="65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Style w:val="HTMLCode"/>
                <w:rFonts w:eastAsia="Calibri" w:cs="Calibri Light" w:ascii="Calibri Light" w:hAnsi="Calibri Light" w:asciiTheme="majorHAnsi" w:cstheme="majorHAnsi" w:eastAsiaTheme="minorHAnsi" w:hAnsiTheme="majorHAnsi"/>
                <w:color w:val="37474F"/>
                <w:sz w:val="28"/>
                <w:szCs w:val="28"/>
              </w:rPr>
              <w:t>0..32</w:t>
            </w:r>
          </w:p>
        </w:tc>
        <w:tc>
          <w:tcPr>
            <w:tcW w:w="2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открытый ключ автора</w:t>
            </w:r>
          </w:p>
        </w:tc>
      </w:tr>
      <w:tr>
        <w:trPr/>
        <w:tc>
          <w:tcPr>
            <w:tcW w:w="65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Style w:val="HTMLCode"/>
                <w:rFonts w:eastAsia="Calibri" w:cs="Calibri Light" w:ascii="Calibri Light" w:hAnsi="Calibri Light" w:asciiTheme="majorHAnsi" w:cstheme="majorHAnsi" w:eastAsiaTheme="minorHAnsi" w:hAnsiTheme="majorHAnsi"/>
                <w:color w:val="37474F"/>
                <w:sz w:val="28"/>
                <w:szCs w:val="28"/>
              </w:rPr>
              <w:t>32</w:t>
            </w:r>
          </w:p>
        </w:tc>
        <w:tc>
          <w:tcPr>
            <w:tcW w:w="2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класс сообщения</w:t>
            </w:r>
          </w:p>
        </w:tc>
      </w:tr>
      <w:tr>
        <w:trPr/>
        <w:tc>
          <w:tcPr>
            <w:tcW w:w="65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Style w:val="HTMLCode"/>
                <w:rFonts w:eastAsia="Calibri" w:cs="Calibri Light" w:ascii="Calibri Light" w:hAnsi="Calibri Light" w:asciiTheme="majorHAnsi" w:cstheme="majorHAnsi" w:eastAsiaTheme="minorHAnsi" w:hAnsiTheme="majorHAnsi"/>
                <w:color w:val="37474F"/>
                <w:sz w:val="28"/>
                <w:szCs w:val="28"/>
              </w:rPr>
              <w:t>33</w:t>
            </w:r>
          </w:p>
        </w:tc>
        <w:tc>
          <w:tcPr>
            <w:tcW w:w="2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тип сообщения</w:t>
            </w:r>
          </w:p>
        </w:tc>
      </w:tr>
      <w:tr>
        <w:trPr/>
        <w:tc>
          <w:tcPr>
            <w:tcW w:w="65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Style w:val="HTMLCode"/>
                <w:rFonts w:eastAsia="Calibri" w:cs="Calibri Light" w:ascii="Calibri Light" w:hAnsi="Calibri Light" w:asciiTheme="majorHAnsi" w:cstheme="majorHAnsi" w:eastAsiaTheme="minorHAnsi" w:hAnsiTheme="majorHAnsi"/>
                <w:color w:val="37474F"/>
                <w:sz w:val="28"/>
                <w:szCs w:val="28"/>
              </w:rPr>
              <w:t>34..N</w:t>
            </w:r>
          </w:p>
        </w:tc>
        <w:tc>
          <w:tcPr>
            <w:tcW w:w="2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полезная нагрузка</w:t>
            </w:r>
          </w:p>
        </w:tc>
      </w:tr>
      <w:tr>
        <w:trPr/>
        <w:tc>
          <w:tcPr>
            <w:tcW w:w="65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Style w:val="HTMLCode"/>
                <w:rFonts w:eastAsia="Calibri" w:cs="Calibri Light" w:ascii="Calibri Light" w:hAnsi="Calibri Light" w:asciiTheme="majorHAnsi" w:cstheme="majorHAnsi" w:eastAsiaTheme="minorHAnsi" w:hAnsiTheme="majorHAnsi"/>
                <w:color w:val="37474F"/>
                <w:sz w:val="28"/>
                <w:szCs w:val="28"/>
              </w:rPr>
              <w:t>N..N+64</w:t>
            </w:r>
          </w:p>
        </w:tc>
        <w:tc>
          <w:tcPr>
            <w:tcW w:w="2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подпись</w:t>
            </w:r>
          </w:p>
        </w:tc>
      </w:tr>
    </w:tbl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использует классы и типы сообщений, представленные в таблице 2.</w:t>
      </w:r>
    </w:p>
    <w:p>
      <w:pPr>
        <w:pStyle w:val="NormalWeb"/>
        <w:spacing w:beforeAutospacing="0" w:before="240" w:afterAutospacing="0" w:after="240"/>
        <w:ind w:firstLine="708"/>
        <w:jc w:val="right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Таблица 2. Классы и типы сообщений</w:t>
      </w:r>
    </w:p>
    <w:tbl>
      <w:tblPr>
        <w:tblW w:w="9356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42"/>
        <w:gridCol w:w="1627"/>
        <w:gridCol w:w="3282"/>
        <w:gridCol w:w="3604"/>
      </w:tblGrid>
      <w:tr>
        <w:trPr>
          <w:tblHeader w:val="true"/>
        </w:trPr>
        <w:tc>
          <w:tcPr>
            <w:tcW w:w="842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>ID класса</w:t>
            </w:r>
          </w:p>
        </w:tc>
        <w:tc>
          <w:tcPr>
            <w:tcW w:w="1627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  <w:lang w:val="en-US"/>
              </w:rPr>
              <w:t>ID</w:t>
            </w: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 xml:space="preserve"> типа</w:t>
            </w:r>
          </w:p>
        </w:tc>
        <w:tc>
          <w:tcPr>
            <w:tcW w:w="3282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>Класс сообщения</w:t>
            </w:r>
          </w:p>
        </w:tc>
        <w:tc>
          <w:tcPr>
            <w:tcW w:w="3604" w:type="dxa"/>
            <w:tcBorders/>
            <w:shd w:color="auto" w:fill="9CC2E5" w:themeFill="accent1" w:themeFillTint="99" w:val="clear"/>
          </w:tcPr>
          <w:p>
            <w:pPr>
              <w:pStyle w:val="Normal"/>
              <w:tabs>
                <w:tab w:val="clear" w:pos="708"/>
                <w:tab w:val="left" w:pos="2916" w:leader="none"/>
              </w:tabs>
              <w:spacing w:before="0" w:after="160"/>
              <w:rPr>
                <w:rFonts w:ascii="Calibri Light" w:hAnsi="Calibri Light" w:cs="Calibri Light" w:asciiTheme="majorHAnsi" w:cstheme="majorHAnsi" w:hAnsiTheme="majorHAnsi"/>
                <w:color w:val="FFFFFF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val="FFFFFF"/>
                <w:sz w:val="28"/>
                <w:szCs w:val="28"/>
              </w:rPr>
              <w:t>Тип сообщения</w:t>
              <w:tab/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Сервисное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  <w:lang w:val="en-US"/>
              </w:rPr>
              <w:t>Transaction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Сервисное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  <w:lang w:val="en-US"/>
              </w:rPr>
              <w:t>Status message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2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Сервисное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  <w:lang w:val="en-US"/>
              </w:rPr>
              <w:t>Connect message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Консенсусное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  <w:lang w:val="en-US"/>
              </w:rPr>
              <w:t>Precommit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Консенсусное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  <w:lang w:val="en-U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  <w:lang w:val="en-US"/>
              </w:rPr>
              <w:t>Propose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2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Консенсусное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Prevote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2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ответное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TransactionsBatch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2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ответное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BlockResponse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3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0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TransactionsRequest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3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1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PrevotesRequest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3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2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PeersRequest</w:t>
            </w:r>
          </w:p>
        </w:tc>
      </w:tr>
      <w:tr>
        <w:trPr/>
        <w:tc>
          <w:tcPr>
            <w:tcW w:w="8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3</w:t>
            </w:r>
          </w:p>
        </w:tc>
        <w:tc>
          <w:tcPr>
            <w:tcW w:w="162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3</w:t>
            </w:r>
          </w:p>
        </w:tc>
        <w:tc>
          <w:tcPr>
            <w:tcW w:w="32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Запросить сообщение</w:t>
            </w:r>
          </w:p>
        </w:tc>
        <w:tc>
          <w:tcPr>
            <w:tcW w:w="36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 Light" w:hAnsi="Calibri Light" w:cs="Calibri Light" w:asciiTheme="majorHAnsi" w:cstheme="majorHAnsi" w:hAnsiTheme="majorHAnsi"/>
                <w:sz w:val="28"/>
                <w:szCs w:val="28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8"/>
                <w:szCs w:val="28"/>
              </w:rPr>
              <w:t>BlockRequest</w:t>
            </w:r>
          </w:p>
        </w:tc>
      </w:tr>
    </w:tbl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Полезная нагрузка варьируется для разных сообщений в зависимости от их класса и типа.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При определении новой транзакции пользователи должны определять только те поля, которые должны составлять полезную нагрузку сообщения. Все остальные поля (например, подпись, открытый ключ и т. д.) автоматически добавляются и обрабатываются ядром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 Полезная нагрузка транзакции включает данные, специфичные для данного типа транзакции. </w:t>
      </w:r>
    </w:p>
    <w:p>
      <w:pPr>
        <w:pStyle w:val="NormalWeb"/>
        <w:spacing w:lineRule="auto" w:line="360" w:beforeAutospacing="0" w:before="0" w:afterAutospacing="0" w:after="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Например,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TxTransfer</w:t>
      </w:r>
      <w:r>
        <w:rPr>
          <w:rStyle w:val="HTMLCode"/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тип транзакции на примере службы криптовалюты представлен следующим образом с использованием описания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Protobuf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:</w:t>
      </w:r>
    </w:p>
    <w:p>
      <w:pPr>
        <w:pStyle w:val="HTMLPreformatted"/>
        <w:spacing w:lineRule="auto" w:line="360"/>
        <w:jc w:val="both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Style w:val="Kd"/>
          <w:rFonts w:cs="Calibri Light" w:ascii="Calibri Light" w:hAnsi="Calibri Light" w:asciiTheme="majorHAnsi" w:cstheme="majorHAnsi" w:hAnsiTheme="majorHAnsi"/>
          <w:color w:val="3B78E7"/>
          <w:sz w:val="28"/>
          <w:szCs w:val="28"/>
        </w:rPr>
        <w:t xml:space="preserve">message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Nc"/>
          <w:rFonts w:cs="Calibri Light" w:ascii="Calibri Light" w:hAnsi="Calibri Light" w:asciiTheme="majorHAnsi" w:cstheme="majorHAnsi" w:hAnsiTheme="majorHAnsi"/>
          <w:color w:val="C2185B"/>
          <w:sz w:val="28"/>
          <w:szCs w:val="28"/>
        </w:rPr>
        <w:t xml:space="preserve">TxTransfer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{ </w:t>
      </w:r>
    </w:p>
    <w:p>
      <w:pPr>
        <w:pStyle w:val="HTMLPreformatted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  <w:r>
        <w:rPr>
          <w:rStyle w:val="C1"/>
          <w:rFonts w:cs="Calibri Light" w:ascii="Calibri Light" w:hAnsi="Calibri Light" w:asciiTheme="majorHAnsi" w:cstheme="majorHAnsi" w:hAnsiTheme="majorHAnsi"/>
          <w:color w:val="999999"/>
          <w:sz w:val="28"/>
          <w:szCs w:val="28"/>
        </w:rPr>
        <w:t xml:space="preserve">// Открытый ключ получателя. </w:t>
      </w:r>
    </w:p>
    <w:p>
      <w:pPr>
        <w:pStyle w:val="HTMLPreformatted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  <w:r>
        <w:rPr>
          <w:rStyle w:val="N"/>
          <w:rFonts w:eastAsia="Verdana"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exonum.PublicKey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K"/>
          <w:rFonts w:cs="Calibri Light" w:ascii="Calibri Light" w:hAnsi="Calibri Light" w:asciiTheme="majorHAnsi" w:cstheme="majorHAnsi" w:hAnsiTheme="majorHAnsi"/>
          <w:color w:val="3B78E7"/>
          <w:sz w:val="28"/>
          <w:szCs w:val="28"/>
        </w:rPr>
        <w:t xml:space="preserve">to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O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=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Mi"/>
          <w:rFonts w:cs="Calibri Light" w:ascii="Calibri Light" w:hAnsi="Calibri Light" w:asciiTheme="majorHAnsi" w:cstheme="majorHAnsi" w:hAnsiTheme="majorHAnsi"/>
          <w:color w:val="E74C3C"/>
          <w:sz w:val="28"/>
          <w:szCs w:val="28"/>
        </w:rPr>
        <w:t xml:space="preserve">1 </w:t>
      </w: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; </w:t>
      </w:r>
    </w:p>
    <w:p>
      <w:pPr>
        <w:pStyle w:val="HTMLPreformatted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  <w:r>
        <w:rPr>
          <w:rStyle w:val="C1"/>
          <w:rFonts w:cs="Calibri Light" w:ascii="Calibri Light" w:hAnsi="Calibri Light" w:asciiTheme="majorHAnsi" w:cstheme="majorHAnsi" w:hAnsiTheme="majorHAnsi"/>
          <w:color w:val="999999"/>
          <w:sz w:val="28"/>
          <w:szCs w:val="28"/>
        </w:rPr>
        <w:t xml:space="preserve">// Количество токенов для перевода со счета отправителя на счет получателя. </w:t>
      </w:r>
    </w:p>
    <w:p>
      <w:pPr>
        <w:pStyle w:val="HTMLPreformatted"/>
        <w:textAlignment w:val="top"/>
        <w:rPr>
          <w:rStyle w:val="P"/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  <w:r>
        <w:rPr>
          <w:rStyle w:val="Kt"/>
          <w:rFonts w:cs="Calibri Light" w:ascii="Calibri Light" w:hAnsi="Calibri Light" w:asciiTheme="majorHAnsi" w:cstheme="majorHAnsi" w:hAnsiTheme="majorHAnsi"/>
          <w:color w:val="3E61A2"/>
          <w:sz w:val="28"/>
          <w:szCs w:val="28"/>
        </w:rPr>
        <w:t xml:space="preserve">uint64 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O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= </w:t>
      </w:r>
      <w:r>
        <w:rPr>
          <w:rStyle w:val="Mi"/>
          <w:rFonts w:cs="Calibri Light" w:ascii="Calibri Light" w:hAnsi="Calibri Light" w:asciiTheme="majorHAnsi" w:cstheme="majorHAnsi" w:hAnsiTheme="majorHAnsi"/>
          <w:color w:val="E74C3C"/>
          <w:sz w:val="28"/>
          <w:szCs w:val="28"/>
        </w:rPr>
        <w:t xml:space="preserve">2 </w:t>
      </w: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; </w:t>
      </w:r>
    </w:p>
    <w:p>
      <w:pPr>
        <w:pStyle w:val="HTMLPreformatted"/>
        <w:textAlignment w:val="top"/>
        <w:rPr>
          <w:rStyle w:val="C1"/>
          <w:rFonts w:ascii="Calibri Light" w:hAnsi="Calibri Light" w:cs="Calibri Light" w:asciiTheme="majorHAnsi" w:cstheme="majorHAnsi" w:hAnsiTheme="majorHAnsi"/>
          <w:color w:val="999999"/>
          <w:sz w:val="28"/>
          <w:szCs w:val="28"/>
        </w:rPr>
      </w:pP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</w:t>
      </w:r>
      <w:r>
        <w:rPr>
          <w:rStyle w:val="C1"/>
          <w:rFonts w:cs="Calibri Light" w:ascii="Calibri Light" w:hAnsi="Calibri Light" w:asciiTheme="majorHAnsi" w:cstheme="majorHAnsi" w:hAnsiTheme="majorHAnsi"/>
          <w:color w:val="999999"/>
          <w:sz w:val="28"/>
          <w:szCs w:val="28"/>
        </w:rPr>
        <w:t xml:space="preserve">// Вспомогательный номер для гарантии неидемпотентности транзакций. </w:t>
      </w:r>
    </w:p>
    <w:p>
      <w:pPr>
        <w:pStyle w:val="HTMLPreformatted"/>
        <w:textAlignment w:val="top"/>
        <w:rPr>
          <w:rStyle w:val="P"/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Style w:val="C1"/>
          <w:rFonts w:cs="Calibri Light" w:ascii="Calibri Light" w:hAnsi="Calibri Light" w:asciiTheme="majorHAnsi" w:cstheme="majorHAnsi" w:hAnsiTheme="majorHAnsi"/>
          <w:color w:val="999999"/>
          <w:sz w:val="28"/>
          <w:szCs w:val="28"/>
        </w:rPr>
        <w:t xml:space="preserve">  </w:t>
      </w:r>
      <w:r>
        <w:rPr>
          <w:rStyle w:val="Kt"/>
          <w:rFonts w:cs="Calibri Light" w:ascii="Calibri Light" w:hAnsi="Calibri Light" w:asciiTheme="majorHAnsi" w:cstheme="majorHAnsi" w:hAnsiTheme="majorHAnsi"/>
          <w:color w:val="3E61A2"/>
          <w:sz w:val="28"/>
          <w:szCs w:val="28"/>
        </w:rPr>
        <w:t xml:space="preserve">uint64 </w:t>
      </w:r>
      <w:r>
        <w:rPr>
          <w:rStyle w:val="Na"/>
          <w:rFonts w:cs="Calibri Light" w:ascii="Calibri Light" w:hAnsi="Calibri Light" w:asciiTheme="majorHAnsi" w:cstheme="majorHAnsi" w:hAnsiTheme="majorHAnsi"/>
          <w:color w:val="C2185B"/>
          <w:sz w:val="28"/>
          <w:szCs w:val="28"/>
        </w:rPr>
        <w:t xml:space="preserve">seed </w:t>
      </w:r>
      <w:r>
        <w:rPr>
          <w:rStyle w:val="O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= </w:t>
      </w:r>
      <w:r>
        <w:rPr>
          <w:rStyle w:val="Mi"/>
          <w:rFonts w:cs="Calibri Light" w:ascii="Calibri Light" w:hAnsi="Calibri Light" w:asciiTheme="majorHAnsi" w:cstheme="majorHAnsi" w:hAnsiTheme="majorHAnsi"/>
          <w:color w:val="E74C3C"/>
          <w:sz w:val="28"/>
          <w:szCs w:val="28"/>
        </w:rPr>
        <w:t xml:space="preserve">3 </w:t>
      </w: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; </w:t>
      </w:r>
    </w:p>
    <w:p>
      <w:pPr>
        <w:pStyle w:val="HTMLPreformatted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Style w:val="P"/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>}</w:t>
      </w: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</w:p>
    <w:p>
      <w:pPr>
        <w:pStyle w:val="HTMLPreformatted"/>
        <w:textAlignment w:val="top"/>
        <w:rPr>
          <w:rFonts w:ascii="Calibri Light" w:hAnsi="Calibri Light" w:cs="Calibri Light" w:asciiTheme="majorHAnsi" w:cstheme="majorHAnsi" w:hAnsiTheme="majorHAnsi"/>
          <w:color w:val="37474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37474F"/>
          <w:sz w:val="28"/>
          <w:szCs w:val="28"/>
        </w:rPr>
        <w:t xml:space="preserve">  </w:t>
      </w:r>
    </w:p>
    <w:p>
      <w:pPr>
        <w:pStyle w:val="NormalWeb"/>
        <w:spacing w:lineRule="auto" w:line="360" w:beforeAutospacing="0" w:before="240" w:afterAutospacing="0" w:after="240"/>
        <w:ind w:firstLine="576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Эта транзакция затем включается в сообщение, которое включает в себя открытый ключ автора транзакции, бинарное представление транзакции, как описано выше, и подпись сообщения. В транзакцию не нужно включать информацию о том, кто переводит средства, отправитель определяется открытым ключом автора сообщения.</w:t>
      </w:r>
    </w:p>
    <w:p>
      <w:pPr>
        <w:pStyle w:val="2"/>
        <w:numPr>
          <w:ilvl w:val="1"/>
          <w:numId w:val="2"/>
        </w:numPr>
        <w:rPr/>
      </w:pPr>
      <w:r>
        <w:rPr/>
        <w:t>Консенсус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Алгоритм консенсуса 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использует некоторые идеи из </w:t>
      </w:r>
      <w:hyperlink r:id="rId12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 xml:space="preserve">алгоритма, предложенного в </w:t>
        </w:r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Tendermint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но имеет </w:t>
      </w:r>
      <w:r>
        <w:fldChar w:fldCharType="begin"/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instrText> HYPERLINK "https://exonum.com/doc/version/latest/architecture/consensus/" \l "distinguishing-features"</w:instrText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fldChar w:fldCharType="separate"/>
      </w:r>
      <w:r>
        <w:rPr>
          <w:rStyle w:val="Style6"/>
          <w:rFonts w:cs="Calibri Light" w:ascii="Calibri Light" w:hAnsi="Calibri Light" w:asciiTheme="majorHAnsi" w:cstheme="majorHAnsi" w:hAnsiTheme="majorHAnsi"/>
          <w:color w:val="auto"/>
          <w:sz w:val="28"/>
          <w:szCs w:val="28"/>
          <w:u w:val="none"/>
        </w:rPr>
        <w:t>несколько отличительных характеристик</w:t>
      </w:r>
      <w:r>
        <w:rPr>
          <w:rStyle w:val="Style6"/>
          <w:sz w:val="28"/>
          <w:u w:val="none"/>
          <w:szCs w:val="28"/>
          <w:rFonts w:cs="Calibri Light" w:ascii="Calibri Light" w:hAnsi="Calibri Light"/>
        </w:rPr>
        <w:fldChar w:fldCharType="end"/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по сравнению с ним и другими алгоритмами консенсуса для блокчейнов.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Алгоритм консенсуса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Tendermint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подробно изложен в документации (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https://tendermint.com/docs/spec/consensus/consensus.html#terms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), а также в статье (</w:t>
      </w:r>
      <w:hyperlink r:id="rId13"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https://habr.com/ru/post/350012/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).</w:t>
      </w:r>
    </w:p>
    <w:p>
      <w:pPr>
        <w:pStyle w:val="NormalWeb"/>
        <w:spacing w:beforeAutospacing="0" w:before="240" w:afterAutospacing="0" w:after="240"/>
        <w:ind w:firstLine="432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Алгоритм работы консенсуса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Tendermint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представлен на рисунке 1. </w:t>
      </w:r>
    </w:p>
    <w:p>
      <w:pPr>
        <w:pStyle w:val="NormalWeb"/>
        <w:spacing w:beforeAutospacing="0" w:before="240" w:afterAutospacing="0" w:after="24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6350" distL="0" distR="3810">
            <wp:extent cx="5920740" cy="41465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240" w:afterAutospacing="0" w:after="24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Рисунок 1. Алгоритм консенсуса 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Tendermint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По сравнению с другими алгоритмами BFT, алгоритм консенсуса 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имеет отличительную особенность - неограниченные раунды, разделение работы между узлами сети и алгоритм запросов.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color w:val="FF0000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Раунды имеют фиксированное время начала, но не имеют определенного времени окончания (раунд заканчивается только при получении следующего блока). Это помогает уменьшить задержки, когда сетевое соединение между валидаторами нестабильно.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Если связь между узлами сети нестабильна – высокая латентность или в процессе передачи возникают потери сетевых пакетов, то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возникает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большая вероятность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того,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что сообщение не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будет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принят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о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до конца раунда. Затем в следующем раунде весь процесс выдвижения предложения и голосования за него должен начаться заново. Время ожидания следующего раунда должно быть увеличено, чтобы блок мог быть принят во время нового раунда в сетях с высокой латентностью. Необходимость заново повторить работу, которая уже была проделана, и увеличение времени ожидания приведет к дополнительным задержкам в принятии предложения блока.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color w:val="FF0000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Отсутствие фиксированного завершения раунда 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по мнению разработчиков, позволяет системе принять предложение с минимально необходимой задержкой.</w:t>
      </w:r>
      <w:r>
        <w:rPr>
          <w:rFonts w:cs="Calibri Light" w:ascii="Calibri Light" w:hAnsi="Calibri Light" w:asciiTheme="majorHAnsi" w:cstheme="majorHAnsi" w:hAnsiTheme="majorHAnsi"/>
          <w:color w:val="FF0000"/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Разделение работы -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Propose-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сообщения включают только хэши транзакций (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сами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транзакции включаются непосредственно в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BlockResponse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сообщения). Кроме того, применение транзакций задерживается; транзакции применяются только в тот момент, когда узел блокируется на сообщении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Обработка отложенных транзакций, по мнению авторов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снижает негативное влияние вредоносных узлов на пропускную способность и задержку системы. Такой подход разделяет обработку транзакций между этапами алгоритма:</w:t>
      </w:r>
    </w:p>
    <w:p>
      <w:pPr>
        <w:pStyle w:val="Normal"/>
        <w:numPr>
          <w:ilvl w:val="0"/>
          <w:numId w:val="7"/>
        </w:numPr>
        <w:spacing w:lineRule="auto" w:line="360" w:beforeAutospacing="1" w:after="0"/>
        <w:jc w:val="both"/>
        <w:rPr>
          <w:rFonts w:ascii="Calibri Light" w:hAnsi="Calibri Light" w:eastAsia="Times New Roman" w:cs="Calibri Light" w:asciiTheme="majorHAnsi" w:cstheme="majorHAnsi" w:hAnsiTheme="majorHAnsi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На этапе </w:t>
      </w:r>
      <w:r>
        <w:rPr>
          <w:rStyle w:val="Style6"/>
          <w:rFonts w:cs="Courier New" w:ascii="Courier New" w:hAnsi="Courier New"/>
          <w:i/>
          <w:color w:val="auto"/>
          <w:sz w:val="24"/>
          <w:szCs w:val="24"/>
          <w:u w:val="none"/>
        </w:rPr>
        <w:t>Prevote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 валидаторы только проверяют, что список транзакций, включенных в предложение, является правильным (валидатор проверяет, что все транзакции в </w:t>
      </w:r>
      <w:r>
        <w:rPr>
          <w:rStyle w:val="Style6"/>
          <w:rFonts w:cs="Courier New" w:ascii="Courier New" w:hAnsi="Courier New"/>
          <w:i/>
          <w:color w:val="auto"/>
          <w:sz w:val="24"/>
          <w:szCs w:val="24"/>
          <w:u w:val="none"/>
        </w:rPr>
        <w:t>Propose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 ранее уже были сохранены этим узлом. Правильность транзакции проверяется при ее получении, узлы не хранят неправильные транзакции.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Calibri Light" w:hAnsi="Calibri Light" w:eastAsia="Times New Roman" w:cs="Calibri Light" w:asciiTheme="majorHAnsi" w:cstheme="majorHAnsi" w:hAnsiTheme="majorHAnsi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На этапе </w:t>
      </w:r>
      <w:r>
        <w:rPr>
          <w:rStyle w:val="Style6"/>
          <w:rFonts w:cs="Courier New" w:ascii="Courier New" w:hAnsi="Courier New"/>
          <w:i/>
          <w:color w:val="auto"/>
          <w:sz w:val="24"/>
          <w:szCs w:val="24"/>
          <w:u w:val="none"/>
        </w:rPr>
        <w:t>Precommit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 валидаторы применяют транзакции к текущему состоянию блокчейна.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Calibri Light" w:hAnsi="Calibri Light" w:eastAsia="Times New Roman" w:cs="Calibri Light" w:asciiTheme="majorHAnsi" w:cstheme="majorHAnsi" w:hAnsiTheme="majorHAnsi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На этапе принятия нового блока, валидаторы проверяют, что они достигли одного и того же состояния после применения транзакций из предложения.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Если узел-лидер отправляет разным валидаторам предложения с разным порядком транзакций, то разный порядок транзакций будет обнаружен при попытке сопоставления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propose_hash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полученного в сообщениях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Prevote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от других валидаторов, и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propose_hash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полученного в сообщении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Таким образом, по мнению авторов, разделение работы помогает снизить негативное влияние узлов-лидеров на общую производительность системы.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Реализация алгоритма выбора узла-лидера находится в файле «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exonum/src/node/state.rs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» и представлена ниже.</w:t>
      </w:r>
      <w:bookmarkStart w:id="4" w:name="_MON_1613463850"/>
      <w:bookmarkEnd w:id="4"/>
    </w:p>
    <w:p>
      <w:pPr>
        <w:pStyle w:val="Normal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object>
          <v:shape id="ole_rId15" style="width:468pt;height:151.5pt" o:ole="">
            <v:imagedata r:id="rId16" o:title=""/>
          </v:shape>
          <o:OLEObject Type="Embed" ProgID="Word.OpenDocumentText.12" ShapeID="ole_rId15" DrawAspect="Content" ObjectID="_1072752975" r:id="rId15"/>
        </w:objec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где</w:t>
      </w:r>
      <w:bookmarkStart w:id="5" w:name="_MON_1613463933"/>
      <w:bookmarkEnd w:id="5"/>
    </w:p>
    <w:p>
      <w:pPr>
        <w:pStyle w:val="Normal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object>
          <v:shape id="ole_rId17" style="width:468pt;height:59.25pt" o:ole="">
            <v:imagedata r:id="rId18" o:title=""/>
          </v:shape>
          <o:OLEObject Type="Embed" ProgID="Word.OpenDocumentText.12" ShapeID="ole_rId17" DrawAspect="Content" ObjectID="_53626248" r:id="rId17"/>
        </w:objec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Алгоритм запросов позволяет валидатору восстанавливать любую консенсусную информацию с помощью других валидаторов. Это, по мнению авторов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положительно влияет на жизнеспособность системы.</w:t>
      </w:r>
    </w:p>
    <w:p>
      <w:pPr>
        <w:pStyle w:val="2"/>
        <w:numPr>
          <w:ilvl w:val="1"/>
          <w:numId w:val="2"/>
        </w:numPr>
        <w:rPr/>
      </w:pPr>
      <w:r>
        <w:rPr/>
        <w:t>Обзор алгоритма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Процесс достижения консенсуса относительно следующего блока (на высоте блокчейна </w:t>
      </w:r>
      <w:r>
        <w:rPr/>
        <w:t>H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) состоит из нескольких раундов, пронумерованных начиная с 1. Первый раунд начинается, </w:t>
      </w:r>
      <w:bookmarkStart w:id="6" w:name="__DdeLink__2414_974761932"/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как только</w:t>
      </w:r>
      <w:bookmarkEnd w:id="6"/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валидатор принимает блок на высоте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 - 1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Когда наступает раунд номер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предыдущие раунды не завершаются. То есть, раунд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</w:t>
      </w:r>
      <w:r>
        <w:rPr/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означает, что валидатор может обрабатывать сообщения, относящиеся к раунду, с номером, не большим чем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 Текущее состояние валидатора может быть описано как кортеж </w:t>
      </w:r>
      <w:r>
        <w:rPr/>
        <w:t>(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H, R</w:t>
      </w:r>
      <w:r>
        <w:rPr/>
        <w:t>)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может отличаться среди валидаторов, но высота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обычно одна и та же. Если определенный валидатор отстает (например, во время его начальной синхронизации или если он был отключен на некоторое время), его высота может быть ниже. В этом случае валидатор может запросить отсутствующие блоки у других валидаторов или узлов, чтобы быстро синхронизироваться с остальными узлами сети.</w:t>
      </w:r>
    </w:p>
    <w:p>
      <w:pPr>
        <w:pStyle w:val="NormalWeb"/>
        <w:spacing w:beforeAutospacing="0" w:before="240" w:afterAutospacing="0" w:after="240"/>
        <w:ind w:firstLine="45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 самом </w:t>
      </w:r>
      <w:r>
        <w:rPr>
          <w:rStyle w:val="Style8"/>
          <w:rFonts w:cs="Calibri Light" w:ascii="Calibri Light" w:hAnsi="Calibri Light" w:asciiTheme="majorHAnsi" w:cstheme="majorHAnsi" w:hAnsiTheme="majorHAnsi"/>
          <w:sz w:val="28"/>
          <w:szCs w:val="28"/>
        </w:rPr>
        <w:t>упрощенном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виде, раунды выполняются следующим образом:</w:t>
      </w:r>
    </w:p>
    <w:p>
      <w:pPr>
        <w:pStyle w:val="Normal"/>
        <w:numPr>
          <w:ilvl w:val="0"/>
          <w:numId w:val="6"/>
        </w:numPr>
        <w:spacing w:lineRule="auto" w:line="360" w:beforeAutospacing="1" w:after="120"/>
        <w:ind w:left="450" w:hanging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 каждом раунде есть </w:t>
      </w:r>
      <w:r>
        <w:rPr>
          <w:rStyle w:val="Style8"/>
          <w:rFonts w:cs="Calibri Light" w:ascii="Calibri Light" w:hAnsi="Calibri Light" w:asciiTheme="majorHAnsi" w:cstheme="majorHAnsi" w:hAnsiTheme="majorHAnsi"/>
          <w:sz w:val="28"/>
          <w:szCs w:val="28"/>
        </w:rPr>
        <w:t>узел-лидер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 Лидер раунда выдвигает </w:t>
      </w:r>
      <w:r>
        <w:rPr>
          <w:rStyle w:val="Style8"/>
          <w:rFonts w:cs="Calibri Light" w:ascii="Calibri Light" w:hAnsi="Calibri Light" w:asciiTheme="majorHAnsi" w:cstheme="majorHAnsi" w:hAnsiTheme="majorHAnsi"/>
          <w:sz w:val="28"/>
          <w:szCs w:val="28"/>
        </w:rPr>
        <w:t>предложение (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proposal</w:t>
      </w:r>
      <w:r>
        <w:rPr>
          <w:rStyle w:val="Style8"/>
          <w:rFonts w:cs="Calibri Light" w:ascii="Calibri Light" w:hAnsi="Calibri Light" w:asciiTheme="majorHAnsi" w:cstheme="majorHAnsi" w:hAnsiTheme="majorHAnsi"/>
          <w:sz w:val="28"/>
          <w:szCs w:val="28"/>
        </w:rPr>
        <w:t xml:space="preserve">)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для следующего блока и транслирует его в сети. Логика выбора узла-лидера описана в отдельном алгоритме.</w:t>
      </w:r>
    </w:p>
    <w:p>
      <w:pPr>
        <w:pStyle w:val="Normal"/>
        <w:numPr>
          <w:ilvl w:val="0"/>
          <w:numId w:val="6"/>
        </w:numPr>
        <w:spacing w:lineRule="auto" w:line="360" w:before="0" w:after="120"/>
        <w:ind w:left="450" w:hanging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Валидаторы могут голосовать за это предложение, транслируя сообщение типа 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prevote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 Это сообщение означает, что валидатор смог обработать предложение и у валидатора есть все транзакции, указанные в предложении.</w:t>
      </w:r>
    </w:p>
    <w:p>
      <w:pPr>
        <w:pStyle w:val="Normal"/>
        <w:numPr>
          <w:ilvl w:val="0"/>
          <w:numId w:val="6"/>
        </w:numPr>
        <w:spacing w:lineRule="auto" w:line="360" w:before="0" w:after="120"/>
        <w:ind w:left="450" w:hanging="36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После того, как валидатор собрал достаточное количество голосов от абсолютного большинства других валидаторов, он применяет транзакции, указанные в предложении и транслирует сообщение типа 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 Это сообщение содержит результат выполнения предложения в виде </w:t>
      </w:r>
      <w:hyperlink r:id="rId19">
        <w:r>
          <w:rPr>
            <w:rStyle w:val="Style6"/>
            <w:rFonts w:cs="Calibri Light" w:ascii="Calibri Light" w:hAnsi="Calibri Light" w:asciiTheme="majorHAnsi" w:cstheme="majorHAnsi" w:hAnsiTheme="majorHAnsi"/>
            <w:color w:val="auto"/>
            <w:sz w:val="28"/>
            <w:szCs w:val="28"/>
            <w:u w:val="none"/>
          </w:rPr>
          <w:t>хеша нового состояния блокчейна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 Сообщение типа 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означает что отправитель готов принять соответствующий предложенный блок в блокчейн.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450" w:hanging="36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Если валидатор собрал сообщения типа 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от абсолютного большинства с одним и тем же хешем состояния для одного и того же предложения, предлагаемый блок принимается в блокчейн.</w:t>
      </w:r>
    </w:p>
    <w:p>
      <w:pPr>
        <w:pStyle w:val="2"/>
        <w:numPr>
          <w:ilvl w:val="1"/>
          <w:numId w:val="2"/>
        </w:numPr>
        <w:rPr/>
      </w:pPr>
      <w:r>
        <w:rPr/>
        <w:t>Коммуникация в сети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В алгоритме консенсуса используются следующие типы сообщений. </w:t>
      </w:r>
    </w:p>
    <w:p>
      <w:pPr>
        <w:pStyle w:val="NormalWeb"/>
        <w:numPr>
          <w:ilvl w:val="0"/>
          <w:numId w:val="8"/>
        </w:numPr>
        <w:spacing w:lineRule="auto" w:line="360" w:beforeAutospacing="0" w:before="0" w:afterAutospacing="0" w:after="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Сообщения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– это набор транзакций, предложенный лидером раунда для включения в следующий блок. Вместо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полн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ых транзакций, сообщения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содержат только хеши транзакций. Валидатор, получивший 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может запросить отсутствующие транзакции у других узлов. Если все валидаторы ведут себя корректно,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отправляется только узлом-лидером раунда.</w:t>
      </w:r>
    </w:p>
    <w:p>
      <w:pPr>
        <w:pStyle w:val="NormalWeb"/>
        <w:numPr>
          <w:ilvl w:val="0"/>
          <w:numId w:val="8"/>
        </w:numPr>
        <w:spacing w:lineRule="auto" w:line="360" w:beforeAutospacing="0" w:before="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Prevote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— это голосование за 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Prevote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указывает, что валидатор имеет правильно сформированное 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и все транзакции, указанные в нем.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Prevote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транслируется всем валидаторам.</w:t>
      </w:r>
    </w:p>
    <w:p>
      <w:pPr>
        <w:pStyle w:val="NormalWeb"/>
        <w:numPr>
          <w:ilvl w:val="0"/>
          <w:numId w:val="8"/>
        </w:numPr>
        <w:spacing w:lineRule="auto" w:line="360" w:beforeAutospacing="0" w:before="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Сообщение </w:t>
      </w:r>
      <w:r>
        <w:rPr>
          <w:rStyle w:val="HTMLCode"/>
          <w:rFonts w:cs="Calibri Light" w:ascii="Calibri Light" w:hAnsi="Calibri Light" w:asciiTheme="majorHAnsi" w:cstheme="majorHAnsi" w:hAnsiTheme="majorHAnsi"/>
          <w:sz w:val="28"/>
          <w:szCs w:val="28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выражает готовность принять определенное предложение в качестве следующего блока в блокчейне. 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транслируется всем валидаторам.</w:t>
      </w:r>
    </w:p>
    <w:p>
      <w:pPr>
        <w:pStyle w:val="NormalWeb"/>
        <w:numPr>
          <w:ilvl w:val="0"/>
          <w:numId w:val="8"/>
        </w:numPr>
        <w:spacing w:lineRule="auto" w:line="360" w:beforeAutospacing="0" w:before="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Status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— это информационное сообщение о текущей высоте блокчейна. Оно отправляется с периодичностью, записанной в конфигурации.</w:t>
      </w:r>
    </w:p>
    <w:p>
      <w:pPr>
        <w:pStyle w:val="NormalWeb"/>
        <w:numPr>
          <w:ilvl w:val="0"/>
          <w:numId w:val="8"/>
        </w:numPr>
        <w:spacing w:lineRule="auto" w:line="360" w:beforeAutospacing="0" w:before="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Сообщение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BlockResponse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содержит блок и набор сообщений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Precommit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которые позволили принять этот блок. Сообщения 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BlockResponse</w:t>
      </w:r>
      <w:r>
        <w:rPr>
          <w:rStyle w:val="HTMLCode"/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отправляются по запросу.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Все сообщения аутентифицируются с помощью цифровых подписей с открытым ключом, так что отправитель сообщения однозначно известен и не может быть поддельным. Кроме того, использование цифровых подписей (вместо, например, </w:t>
      </w:r>
      <w:hyperlink r:id="rId20">
        <w:r>
          <w:rPr>
            <w:rStyle w:val="ListLabel122"/>
          </w:rPr>
          <w:t>HMAC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гарантирует, по мнению создателей, что сообщения могут быть свободно повторно переданы по сети. Более того, это можно сделать с помощью балансировщиков нагрузки, которые не имеют представления о содержании сообщений.</w:t>
      </w:r>
    </w:p>
    <w:p>
      <w:pPr>
        <w:pStyle w:val="1"/>
        <w:numPr>
          <w:ilvl w:val="0"/>
          <w:numId w:val="2"/>
        </w:numPr>
        <w:rPr/>
      </w:pPr>
      <w:r>
        <w:rPr/>
        <w:t xml:space="preserve">Результат проведения исследований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Проведенный анализ исходных текстов показал соответствие оригинальной англоязычной документации исходным текстам, тогда как русскоязычный перевод содержит ошибки и неточности, например.</w:t>
      </w:r>
    </w:p>
    <w:p>
      <w:pPr>
        <w:pStyle w:val="Normal"/>
        <w:ind w:firstLine="432"/>
        <w:jc w:val="both"/>
        <w:rPr>
          <w:rFonts w:ascii="Calibri Light" w:hAnsi="Calibri Light" w:cs="Calibri Light" w:asciiTheme="majorHAnsi" w:cstheme="majorHAnsi" w:hAnsiTheme="majorHAnsi"/>
          <w:i/>
          <w:i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i/>
          <w:sz w:val="28"/>
          <w:szCs w:val="28"/>
        </w:rPr>
        <w:t>«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Exonum</w:t>
      </w:r>
      <w:r>
        <w:rPr>
          <w:rFonts w:cs="Calibri Light" w:ascii="Calibri Light" w:hAnsi="Calibri Light" w:asciiTheme="majorHAnsi" w:cstheme="majorHAnsi" w:hAnsiTheme="majorHAnsi"/>
          <w:i/>
          <w:sz w:val="28"/>
          <w:szCs w:val="28"/>
        </w:rPr>
        <w:t xml:space="preserve"> предоставляет механизм «доказательств», основанный на криптографических обязательствах через деревья Меркла. Этот механизм позволяет проверить, что ответ от полного узла был действительно одобрен большинством валидаторов».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Предложенные улучшения алгоритма консенсуса, по мнению экспертов, могут нести угрозу информационной безопасности. Отсутствие ограничения времени раунда консенсуса, см. п. 3.4 настоящего отчета, может привести к блокированию работы сети блокчейна в случае проведения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DDoS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атаки на узел-лидер, так как он не сможет переслать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proposal</w:t>
      </w:r>
      <w:r>
        <w:rPr>
          <w:i/>
          <w:iCs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сообщение всем остальным узлам сети.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Для проверки скорости работы библиотеки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был создан стенд на одном компьютере со следующими характеристиками: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ЦПУ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Core i-7 770, ОЗУ 16 Гб, НЖМД 4 Тб. Развёртывание стенда производилось в соответствии с описанием примера «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cryptocurrency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-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advanced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» из состава дистрибутива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Exonum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</w:p>
    <w:p>
      <w:pPr>
        <w:pStyle w:val="NormalWeb"/>
        <w:spacing w:lineRule="auto" w:line="360" w:beforeAutospacing="0" w:before="240" w:afterAutospacing="0" w:after="240"/>
        <w:ind w:firstLine="708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Все эксперименты проводились с примером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cryptocurrency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-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advanced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который был модифицирован для генерации транзакций «Transfer funds». Описание транзакции «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Transfer funds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» в терминах языка программирования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Rust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имеет следующий вид.</w:t>
      </w:r>
    </w:p>
    <w:p>
      <w:pPr>
        <w:pStyle w:val="Normal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object>
          <v:shape id="ole_rId21" style="width:468pt;height:120pt" o:ole="">
            <v:imagedata r:id="rId22" o:title=""/>
          </v:shape>
          <o:OLEObject Type="Embed" ProgID="Word.OpenDocumentText.12" ShapeID="ole_rId21" DrawAspect="Content" ObjectID="_173057261" r:id="rId21"/>
        </w:object>
      </w:r>
    </w:p>
    <w:p>
      <w:pPr>
        <w:pStyle w:val="Normal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Для создания потока транзакций и заполнения поля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seed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в начале отправки транзакций вызывался метод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randomUint64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далее полученный результат </w:t>
      </w:r>
      <w:r>
        <w:rPr>
          <w:rStyle w:val="Style6"/>
          <w:rFonts w:eastAsia="Times New Roman" w:cs="Courier New" w:ascii="Courier New" w:hAnsi="Courier New"/>
          <w:i/>
          <w:color w:val="auto"/>
          <w:sz w:val="24"/>
          <w:szCs w:val="24"/>
          <w:u w:val="none"/>
          <w:lang w:eastAsia="ru-RU"/>
        </w:rPr>
        <w:t>randomUint64</w:t>
      </w:r>
      <w:r>
        <w:rPr>
          <w:rFonts w:cs="Calibri Light" w:ascii="Calibri Light" w:hAnsi="Calibri Light" w:asciiTheme="majorHAnsi" w:cstheme="majorHAnsi" w:hAnsiTheme="majorHAnsi"/>
          <w:i/>
          <w:sz w:val="28"/>
          <w:szCs w:val="2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инкрементировался. </w:t>
      </w:r>
    </w:p>
    <w:p>
      <w:pPr>
        <w:pStyle w:val="Normal"/>
        <w:ind w:firstLine="432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object>
          <v:shape id="ole_rId23" style="width:467.25pt;height:107.25pt" o:ole="">
            <v:imagedata r:id="rId24" o:title=""/>
          </v:shape>
          <o:OLEObject Type="Embed" ProgID="Word.OpenDocumentText.12" ShapeID="ole_rId23" DrawAspect="Content" ObjectID="_85578289" r:id="rId23"/>
        </w:objec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Замеры скорости проводились для следующего объема транзакций.</w:t>
      </w:r>
    </w:p>
    <w:p>
      <w:pPr>
        <w:pStyle w:val="ListParagraph"/>
        <w:numPr>
          <w:ilvl w:val="0"/>
          <w:numId w:val="10"/>
        </w:numPr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1000 транзакций. Транзакции попали в блоки блокчейна приблизительно за 7 секунд, скорость принятия транзакций составила 142 транзакции в секунду, см рисунок 2.</w:t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0" distL="0" distR="5715">
            <wp:extent cx="5062220" cy="29908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Рисунок 2. Результат включения 1000 транзакций в блокчейн</w:t>
      </w:r>
    </w:p>
    <w:p>
      <w:pPr>
        <w:pStyle w:val="ListParagraph"/>
        <w:ind w:left="1152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ListParagraph"/>
        <w:numPr>
          <w:ilvl w:val="0"/>
          <w:numId w:val="10"/>
        </w:numPr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10000 транзакций. Транзакции попали в блоки блокчейна приблизительно за 66 секунд с начала процесса генерации транзакций, скорость принятия транзакций составила 151 транзакцию в секунду. Анализ распределения транзакций по блокам показал, что все 10 000 транзакций попали в 84 блока, что соответствует примерно 42 секундам. В таком случае скорость принятия транзакций составляет 238 транзакций в секунду см рисунок 3. </w:t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0" distL="0" distR="0">
            <wp:extent cx="5930265" cy="1511935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Рисунок 3. Результат включения 10000 транзакций в блокчейн</w:t>
      </w:r>
    </w:p>
    <w:p>
      <w:pPr>
        <w:pStyle w:val="ListParagraph"/>
        <w:ind w:left="1152" w:hanging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ListParagraph"/>
        <w:numPr>
          <w:ilvl w:val="0"/>
          <w:numId w:val="10"/>
        </w:numPr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1 000 000 транзакций в блокчейн. При попытке отправить 1 миллион транзакций ни одна транзакция в блокчейн не попала, при этом блокчейн не выдавал ошибок, см рисунок 4.</w:t>
      </w:r>
      <w:r>
        <w:rPr/>
        <w:t xml:space="preserve"> </w:t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0" distL="0" distR="8255">
            <wp:extent cx="6259830" cy="3314700"/>
            <wp:effectExtent l="0" t="0" r="0" b="0"/>
            <wp:docPr id="4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 w:hanging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Рисунок 4. Сбой при отправке 1000000 транзакций</w:t>
      </w:r>
    </w:p>
    <w:p>
      <w:pPr>
        <w:pStyle w:val="Normal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1"/>
        <w:numPr>
          <w:ilvl w:val="0"/>
          <w:numId w:val="2"/>
        </w:numPr>
        <w:rPr/>
      </w:pPr>
      <w:r>
        <w:rPr/>
        <w:t>Заключение</w:t>
      </w:r>
    </w:p>
    <w:p>
      <w:pPr>
        <w:pStyle w:val="Style17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bookmarkStart w:id="7" w:name="_GoBack"/>
      <w:r>
        <w:rPr>
          <w:rFonts w:cs="Calibri Light" w:ascii="Calibri Light" w:hAnsi="Calibri Light" w:asciiTheme="majorHAnsi" w:cstheme="majorHAnsi" w:hAnsiTheme="majorHAnsi"/>
          <w:szCs w:val="28"/>
        </w:rPr>
        <w:t xml:space="preserve">Анализ официальной документации бибилотеки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Exonum,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на русском и английском языках, а также анализ исходных текстов показал соответствие английской версии документации исходным текстам. </w:t>
      </w:r>
      <w:bookmarkEnd w:id="7"/>
    </w:p>
    <w:p>
      <w:pPr>
        <w:pStyle w:val="Style17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Предложенные разработчиками решения по изменению алгоритма консенсуса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Tendermint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требуют дополнительного исследования на устойчивость к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DDoS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атакам.</w:t>
      </w:r>
    </w:p>
    <w:p>
      <w:pPr>
        <w:pStyle w:val="Style17"/>
        <w:spacing w:lineRule="auto" w:line="360" w:before="0" w:after="0"/>
        <w:rPr>
          <w:rFonts w:ascii="Calibri Light" w:hAnsi="Calibri Light" w:cs="Calibri Light" w:asciiTheme="majorHAnsi" w:cstheme="majorHAnsi" w:hAnsiTheme="majorHAnsi"/>
          <w:color w:val="FF0000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Экспериментальная проверка библиотеки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 xml:space="preserve">Exonum </w:t>
      </w:r>
      <w:r>
        <w:rPr>
          <w:rFonts w:cs="Calibri Light" w:ascii="Calibri Light" w:hAnsi="Calibri Light" w:asciiTheme="majorHAnsi" w:cstheme="majorHAnsi" w:hAnsiTheme="majorHAnsi"/>
          <w:szCs w:val="28"/>
        </w:rPr>
        <w:t>показала ее условную работоспособность. Текущее состояние проекта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 xml:space="preserve"> Exonum 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экспертами охарактеризовано как макетное, которое демонстрирует работоспособность предложенных разработчиками библиотеки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 xml:space="preserve">Exonum 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решений. Использовать существующую библиотеку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 xml:space="preserve">Exonum </w:t>
      </w:r>
      <w:r>
        <w:rPr>
          <w:rFonts w:cs="Calibri Light" w:ascii="Calibri Light" w:hAnsi="Calibri Light" w:asciiTheme="majorHAnsi" w:cstheme="majorHAnsi" w:hAnsiTheme="majorHAnsi"/>
          <w:szCs w:val="28"/>
        </w:rPr>
        <w:t>в финтех решениях без серьезной доработки нельзя.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 xml:space="preserve"> </w:t>
      </w:r>
    </w:p>
    <w:p>
      <w:pPr>
        <w:pStyle w:val="Style17"/>
        <w:spacing w:lineRule="auto" w:line="360" w:before="0" w:after="0"/>
        <w:rPr>
          <w:rFonts w:ascii="Calibri Light" w:hAnsi="Calibri Light" w:cs="Calibri Light" w:asciiTheme="majorHAnsi" w:cstheme="majorHAnsi" w:hAnsiTheme="majorHAnsi"/>
          <w:color w:val="FF0000"/>
          <w:szCs w:val="28"/>
        </w:rPr>
      </w:pPr>
      <w:r>
        <w:rPr>
          <w:rFonts w:cs="Calibri Light" w:cstheme="majorHAnsi" w:ascii="Calibri Light" w:hAnsi="Calibri Light"/>
          <w:color w:val="FF0000"/>
          <w:szCs w:val="28"/>
        </w:rPr>
      </w:r>
    </w:p>
    <w:p>
      <w:pPr>
        <w:pStyle w:val="Normal"/>
        <w:ind w:firstLine="432"/>
        <w:rPr>
          <w:rFonts w:ascii="Calibri Light" w:hAnsi="Calibri Light" w:cs="Calibri Light" w:asciiTheme="majorHAnsi" w:cstheme="majorHAnsi" w:hAnsiTheme="majorHAnsi"/>
          <w:color w:val="FF0000"/>
          <w:sz w:val="28"/>
          <w:szCs w:val="28"/>
        </w:rPr>
      </w:pPr>
      <w:r>
        <w:rPr>
          <w:rFonts w:cs="Calibri Light" w:cstheme="majorHAnsi" w:ascii="Calibri Light" w:hAnsi="Calibri Light"/>
          <w:color w:val="FF0000"/>
          <w:sz w:val="28"/>
          <w:szCs w:val="28"/>
        </w:rPr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Helvetica">
    <w:altName w:val="Arial"/>
    <w:charset w:val="cc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3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pStyle w:val="2"/>
      <w:numFmt w:val="decimal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4"/>
      <w:numFmt w:val="decimal"/>
      <w:lvlText w:val="%1.%2.%4"/>
      <w:lvlJc w:val="left"/>
      <w:pPr>
        <w:ind w:left="864" w:hanging="864"/>
      </w:pPr>
    </w:lvl>
    <w:lvl w:ilvl="4">
      <w:start w:val="1"/>
      <w:pStyle w:val="5"/>
      <w:numFmt w:val="decimal"/>
      <w:lvlText w:val="%1.%2.%4.%5"/>
      <w:lvlJc w:val="left"/>
      <w:pPr>
        <w:ind w:left="1008" w:hanging="1008"/>
      </w:pPr>
    </w:lvl>
    <w:lvl w:ilvl="5">
      <w:start w:val="1"/>
      <w:pStyle w:val="6"/>
      <w:numFmt w:val="decimal"/>
      <w:lvlText w:val="%1.%2.%4.%5.%6"/>
      <w:lvlJc w:val="left"/>
      <w:pPr>
        <w:ind w:left="1152" w:hanging="1152"/>
      </w:pPr>
    </w:lvl>
    <w:lvl w:ilvl="6">
      <w:start w:val="1"/>
      <w:pStyle w:val="7"/>
      <w:numFmt w:val="decimal"/>
      <w:lvlText w:val="%1.%2.%4.%5.%6.%7"/>
      <w:lvlJc w:val="left"/>
      <w:pPr>
        <w:ind w:left="1296" w:hanging="1296"/>
      </w:pPr>
    </w:lvl>
    <w:lvl w:ilvl="7">
      <w:start w:val="1"/>
      <w:pStyle w:val="8"/>
      <w:numFmt w:val="decimal"/>
      <w:lvlText w:val="%1.%2.%4.%5.%6.%7.%8"/>
      <w:lvlJc w:val="left"/>
      <w:pPr>
        <w:ind w:left="1440" w:hanging="1440"/>
      </w:pPr>
    </w:lvl>
    <w:lvl w:ilvl="8">
      <w:start w:val="1"/>
      <w:pStyle w:val="9"/>
      <w:numFmt w:val="decimal"/>
      <w:lvlText w:val="%1.%2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709"/>
        </w:tabs>
        <w:ind w:left="879" w:hanging="170"/>
      </w:pPr>
      <w:rPr>
        <w:rFonts w:ascii="Symbol" w:hAnsi="Symbol" w:cs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340" w:hanging="170"/>
      </w:pPr>
      <w:rPr>
        <w:rFonts w:ascii="Symbol" w:hAnsi="Symbol" w:cs="Symbol" w:hint="default"/>
        <w:sz w:val="28"/>
      </w:rPr>
    </w:lvl>
    <w:lvl w:ilvl="2">
      <w:start w:val="1"/>
      <w:numFmt w:val="bullet"/>
      <w:suff w:val="space"/>
      <w:lvlText w:val=""/>
      <w:lvlJc w:val="left"/>
      <w:pPr>
        <w:ind w:left="510" w:hanging="170"/>
      </w:pPr>
      <w:rPr>
        <w:rFonts w:ascii="Symbol" w:hAnsi="Symbol" w:cs="Symbol" w:hint="default"/>
        <w:sz w:val="28"/>
      </w:rPr>
    </w:lvl>
    <w:lvl w:ilvl="3">
      <w:start w:val="1"/>
      <w:numFmt w:val="bullet"/>
      <w:suff w:val="space"/>
      <w:lvlText w:val=""/>
      <w:lvlJc w:val="left"/>
      <w:pPr>
        <w:ind w:left="680" w:hanging="170"/>
      </w:pPr>
      <w:rPr>
        <w:rFonts w:ascii="Symbol" w:hAnsi="Symbol" w:cs="Symbol" w:hint="default"/>
        <w:sz w:val="28"/>
      </w:rPr>
    </w:lvl>
    <w:lvl w:ilvl="4">
      <w:start w:val="1"/>
      <w:numFmt w:val="bullet"/>
      <w:suff w:val="space"/>
      <w:lvlText w:val=""/>
      <w:lvlJc w:val="left"/>
      <w:pPr>
        <w:ind w:left="850" w:hanging="170"/>
      </w:pPr>
      <w:rPr>
        <w:rFonts w:ascii="Symbol" w:hAnsi="Symbol" w:cs="Symbol" w:hint="default"/>
        <w:sz w:val="28"/>
      </w:rPr>
    </w:lvl>
    <w:lvl w:ilvl="5">
      <w:start w:val="1"/>
      <w:numFmt w:val="bullet"/>
      <w:suff w:val="space"/>
      <w:lvlText w:val=""/>
      <w:lvlJc w:val="left"/>
      <w:pPr>
        <w:ind w:left="1020" w:hanging="170"/>
      </w:pPr>
      <w:rPr>
        <w:rFonts w:ascii="Symbol" w:hAnsi="Symbol" w:cs="Symbol" w:hint="default"/>
        <w:sz w:val="28"/>
      </w:rPr>
    </w:lvl>
    <w:lvl w:ilvl="6">
      <w:start w:val="1"/>
      <w:numFmt w:val="bullet"/>
      <w:suff w:val="space"/>
      <w:lvlText w:val=""/>
      <w:lvlJc w:val="left"/>
      <w:pPr>
        <w:ind w:left="1191" w:hanging="170"/>
      </w:pPr>
      <w:rPr>
        <w:rFonts w:ascii="Symbol" w:hAnsi="Symbol" w:cs="Symbol" w:hint="default"/>
        <w:sz w:val="28"/>
      </w:rPr>
    </w:lvl>
    <w:lvl w:ilvl="7">
      <w:start w:val="1"/>
      <w:numFmt w:val="bullet"/>
      <w:suff w:val="space"/>
      <w:lvlText w:val=""/>
      <w:lvlJc w:val="left"/>
      <w:pPr>
        <w:ind w:left="1361" w:hanging="170"/>
      </w:pPr>
      <w:rPr>
        <w:rFonts w:ascii="Symbol" w:hAnsi="Symbol" w:cs="Symbol" w:hint="default"/>
        <w:sz w:val="28"/>
      </w:rPr>
    </w:lvl>
    <w:lvl w:ilvl="8">
      <w:start w:val="1"/>
      <w:numFmt w:val="bullet"/>
      <w:suff w:val="space"/>
      <w:lvlText w:val=""/>
      <w:lvlJc w:val="left"/>
      <w:pPr>
        <w:ind w:left="1531" w:hanging="170"/>
      </w:pPr>
      <w:rPr>
        <w:rFonts w:ascii="Symbol" w:hAnsi="Symbol" w:cs="Symbol" w:hint="default"/>
        <w:sz w:val="28"/>
      </w:rPr>
    </w:lvl>
  </w:abstractNum>
  <w:abstractNum w:abstractNumId="4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ind w:left="11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ind w:left="11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c87511"/>
    <w:pPr>
      <w:keepNext w:val="true"/>
      <w:numPr>
        <w:ilvl w:val="0"/>
        <w:numId w:val="1"/>
      </w:numPr>
      <w:suppressAutoHyphens w:val="true"/>
      <w:spacing w:lineRule="auto" w:line="360" w:before="0" w:after="0"/>
      <w:ind w:right="62" w:hanging="0"/>
      <w:jc w:val="both"/>
    </w:pPr>
    <w:rPr>
      <w:rFonts w:ascii="Times New Roman" w:hAnsi="Times New Roman" w:eastAsia="Verdana" w:cs="Times New Roman"/>
      <w:sz w:val="32"/>
      <w:szCs w:val="32"/>
    </w:rPr>
  </w:style>
  <w:style w:type="paragraph" w:styleId="2">
    <w:name w:val="Heading 2"/>
    <w:basedOn w:val="Normal"/>
    <w:next w:val="3"/>
    <w:link w:val="20"/>
    <w:unhideWhenUsed/>
    <w:qFormat/>
    <w:rsid w:val="00c87511"/>
    <w:pPr>
      <w:keepNext w:val="true"/>
      <w:widowControl w:val="false"/>
      <w:numPr>
        <w:ilvl w:val="1"/>
        <w:numId w:val="1"/>
      </w:numPr>
      <w:suppressAutoHyphens w:val="true"/>
      <w:spacing w:lineRule="auto" w:line="360" w:before="360" w:after="0"/>
      <w:outlineLvl w:val="1"/>
    </w:pPr>
    <w:rPr>
      <w:rFonts w:ascii="Calibri Light" w:hAnsi="Calibri Light" w:eastAsia="Times New Roman" w:cs="Calibri Light" w:asciiTheme="majorHAnsi" w:cstheme="majorHAnsi" w:hAnsiTheme="majorHAnsi"/>
      <w:b/>
      <w:bCs/>
      <w:kern w:val="2"/>
      <w:sz w:val="28"/>
      <w:szCs w:val="24"/>
      <w:lang w:eastAsia="zh-CN"/>
    </w:rPr>
  </w:style>
  <w:style w:type="paragraph" w:styleId="3">
    <w:name w:val="Heading 3"/>
    <w:basedOn w:val="2"/>
    <w:next w:val="4"/>
    <w:link w:val="30"/>
    <w:autoRedefine/>
    <w:unhideWhenUsed/>
    <w:qFormat/>
    <w:rsid w:val="00b600b9"/>
    <w:pPr>
      <w:numPr>
        <w:ilvl w:val="0"/>
        <w:numId w:val="1"/>
      </w:numPr>
      <w:spacing w:before="23" w:after="0"/>
      <w:jc w:val="both"/>
      <w:outlineLvl w:val="0"/>
    </w:pPr>
    <w:rPr>
      <w:b w:val="false"/>
      <w:szCs w:val="28"/>
    </w:rPr>
  </w:style>
  <w:style w:type="paragraph" w:styleId="4">
    <w:name w:val="Heading 4"/>
    <w:basedOn w:val="Style16"/>
    <w:next w:val="Normal"/>
    <w:link w:val="40"/>
    <w:semiHidden/>
    <w:unhideWhenUsed/>
    <w:qFormat/>
    <w:rsid w:val="000a4a03"/>
    <w:pPr>
      <w:keepNext w:val="true"/>
      <w:numPr>
        <w:ilvl w:val="3"/>
        <w:numId w:val="1"/>
      </w:numPr>
      <w:suppressAutoHyphens w:val="true"/>
      <w:spacing w:lineRule="atLeast" w:line="100" w:before="57" w:after="57"/>
      <w:outlineLvl w:val="3"/>
    </w:pPr>
    <w:rPr>
      <w:rFonts w:ascii="Times New Roman" w:hAnsi="Times New Roman" w:eastAsia="Times New Roman" w:cs="Tahoma"/>
      <w:b/>
      <w:bCs/>
      <w:iCs/>
      <w:spacing w:val="0"/>
      <w:kern w:val="0"/>
      <w:sz w:val="24"/>
      <w:szCs w:val="24"/>
      <w:lang w:eastAsia="zh-CN"/>
    </w:rPr>
  </w:style>
  <w:style w:type="paragraph" w:styleId="5">
    <w:name w:val="Heading 5"/>
    <w:basedOn w:val="Style16"/>
    <w:next w:val="Normal"/>
    <w:link w:val="50"/>
    <w:semiHidden/>
    <w:unhideWhenUsed/>
    <w:qFormat/>
    <w:rsid w:val="000a4a03"/>
    <w:pPr>
      <w:keepNext w:val="true"/>
      <w:numPr>
        <w:ilvl w:val="4"/>
        <w:numId w:val="1"/>
      </w:numPr>
      <w:suppressAutoHyphens w:val="true"/>
      <w:spacing w:lineRule="atLeast" w:line="100" w:before="240" w:after="120"/>
      <w:ind w:right="63" w:hanging="0"/>
      <w:jc w:val="both"/>
      <w:outlineLvl w:val="4"/>
    </w:pPr>
    <w:rPr>
      <w:rFonts w:ascii="Liberation Sans" w:hAnsi="Liberation Sans" w:eastAsia="Times New Roman" w:cs="Tahoma"/>
      <w:b/>
      <w:bCs/>
      <w:spacing w:val="0"/>
      <w:kern w:val="0"/>
      <w:sz w:val="24"/>
      <w:szCs w:val="24"/>
      <w:lang w:eastAsia="zh-CN"/>
    </w:rPr>
  </w:style>
  <w:style w:type="paragraph" w:styleId="6">
    <w:name w:val="Heading 6"/>
    <w:basedOn w:val="Style16"/>
    <w:next w:val="Normal"/>
    <w:link w:val="60"/>
    <w:semiHidden/>
    <w:unhideWhenUsed/>
    <w:qFormat/>
    <w:rsid w:val="000a4a03"/>
    <w:pPr>
      <w:keepNext w:val="true"/>
      <w:numPr>
        <w:ilvl w:val="5"/>
        <w:numId w:val="1"/>
      </w:numPr>
      <w:suppressAutoHyphens w:val="true"/>
      <w:spacing w:lineRule="atLeast" w:line="100" w:before="240" w:after="120"/>
      <w:ind w:right="63" w:hanging="0"/>
      <w:jc w:val="both"/>
      <w:outlineLvl w:val="5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7">
    <w:name w:val="Heading 7"/>
    <w:basedOn w:val="Style16"/>
    <w:next w:val="Normal"/>
    <w:link w:val="70"/>
    <w:semiHidden/>
    <w:unhideWhenUsed/>
    <w:qFormat/>
    <w:rsid w:val="000a4a03"/>
    <w:pPr>
      <w:keepNext w:val="true"/>
      <w:numPr>
        <w:ilvl w:val="6"/>
        <w:numId w:val="1"/>
      </w:numPr>
      <w:suppressAutoHyphens w:val="true"/>
      <w:spacing w:lineRule="atLeast" w:line="100" w:before="240" w:after="120"/>
      <w:ind w:right="63" w:hanging="0"/>
      <w:jc w:val="both"/>
      <w:outlineLvl w:val="6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8">
    <w:name w:val="Heading 8"/>
    <w:basedOn w:val="Style16"/>
    <w:next w:val="Normal"/>
    <w:link w:val="80"/>
    <w:semiHidden/>
    <w:unhideWhenUsed/>
    <w:qFormat/>
    <w:rsid w:val="000a4a03"/>
    <w:pPr>
      <w:keepNext w:val="true"/>
      <w:numPr>
        <w:ilvl w:val="7"/>
        <w:numId w:val="1"/>
      </w:numPr>
      <w:suppressAutoHyphens w:val="true"/>
      <w:spacing w:lineRule="atLeast" w:line="100" w:before="240" w:after="120"/>
      <w:ind w:right="63" w:hanging="0"/>
      <w:jc w:val="both"/>
      <w:outlineLvl w:val="7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9">
    <w:name w:val="Heading 9"/>
    <w:basedOn w:val="Style16"/>
    <w:next w:val="Normal"/>
    <w:link w:val="90"/>
    <w:semiHidden/>
    <w:unhideWhenUsed/>
    <w:qFormat/>
    <w:rsid w:val="000a4a03"/>
    <w:pPr>
      <w:keepNext w:val="true"/>
      <w:numPr>
        <w:ilvl w:val="8"/>
        <w:numId w:val="1"/>
      </w:numPr>
      <w:suppressAutoHyphens w:val="true"/>
      <w:spacing w:lineRule="atLeast" w:line="100" w:before="240" w:after="120"/>
      <w:ind w:right="63" w:hanging="0"/>
      <w:jc w:val="both"/>
      <w:outlineLvl w:val="8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qFormat/>
    <w:rsid w:val="00c87511"/>
    <w:rPr>
      <w:rFonts w:ascii="Times New Roman" w:hAnsi="Times New Roman" w:eastAsia="Verdana" w:cs="Times New Roman"/>
      <w:sz w:val="32"/>
      <w:szCs w:val="32"/>
    </w:rPr>
  </w:style>
  <w:style w:type="character" w:styleId="21" w:customStyle="1">
    <w:name w:val="Заголовок 2 Знак"/>
    <w:basedOn w:val="DefaultParagraphFont"/>
    <w:link w:val="2"/>
    <w:qFormat/>
    <w:rsid w:val="00c87511"/>
    <w:rPr>
      <w:rFonts w:ascii="Calibri Light" w:hAnsi="Calibri Light" w:eastAsia="Times New Roman" w:cs="Calibri Light" w:asciiTheme="majorHAnsi" w:cstheme="majorHAnsi" w:hAnsiTheme="majorHAnsi"/>
      <w:b/>
      <w:bCs/>
      <w:kern w:val="2"/>
      <w:sz w:val="28"/>
      <w:szCs w:val="24"/>
      <w:lang w:eastAsia="zh-CN"/>
    </w:rPr>
  </w:style>
  <w:style w:type="character" w:styleId="31" w:customStyle="1">
    <w:name w:val="Заголовок 3 Знак"/>
    <w:basedOn w:val="DefaultParagraphFont"/>
    <w:link w:val="3"/>
    <w:qFormat/>
    <w:rsid w:val="00b600b9"/>
    <w:rPr>
      <w:rFonts w:ascii="Calibri Light" w:hAnsi="Calibri Light" w:eastAsia="Times New Roman" w:cs="Calibri Light" w:asciiTheme="majorHAnsi" w:cstheme="majorHAnsi" w:hAnsiTheme="majorHAnsi"/>
      <w:bCs/>
      <w:kern w:val="2"/>
      <w:sz w:val="28"/>
      <w:szCs w:val="28"/>
      <w:lang w:eastAsia="zh-CN"/>
    </w:rPr>
  </w:style>
  <w:style w:type="character" w:styleId="41" w:customStyle="1">
    <w:name w:val="Заголовок 4 Знак"/>
    <w:basedOn w:val="DefaultParagraphFont"/>
    <w:link w:val="4"/>
    <w:semiHidden/>
    <w:qFormat/>
    <w:rsid w:val="000a4a03"/>
    <w:rPr>
      <w:rFonts w:ascii="Times New Roman" w:hAnsi="Times New Roman" w:eastAsia="Times New Roman" w:cs="Tahoma"/>
      <w:b/>
      <w:bCs/>
      <w:iCs/>
      <w:sz w:val="24"/>
      <w:szCs w:val="24"/>
      <w:lang w:eastAsia="zh-CN"/>
    </w:rPr>
  </w:style>
  <w:style w:type="character" w:styleId="51" w:customStyle="1">
    <w:name w:val="Заголовок 5 Знак"/>
    <w:basedOn w:val="DefaultParagraphFont"/>
    <w:link w:val="5"/>
    <w:semiHidden/>
    <w:qFormat/>
    <w:rsid w:val="000a4a03"/>
    <w:rPr>
      <w:rFonts w:ascii="Liberation Sans" w:hAnsi="Liberation Sans" w:eastAsia="Times New Roman" w:cs="Tahoma"/>
      <w:b/>
      <w:bCs/>
      <w:sz w:val="24"/>
      <w:szCs w:val="24"/>
      <w:lang w:eastAsia="zh-CN"/>
    </w:rPr>
  </w:style>
  <w:style w:type="character" w:styleId="61" w:customStyle="1">
    <w:name w:val="Заголовок 6 Знак"/>
    <w:basedOn w:val="DefaultParagraphFont"/>
    <w:link w:val="6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71" w:customStyle="1">
    <w:name w:val="Заголовок 7 Знак"/>
    <w:basedOn w:val="DefaultParagraphFont"/>
    <w:link w:val="7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81" w:customStyle="1">
    <w:name w:val="Заголовок 8 Знак"/>
    <w:basedOn w:val="DefaultParagraphFont"/>
    <w:link w:val="8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91" w:customStyle="1">
    <w:name w:val="Заголовок 9 Знак"/>
    <w:basedOn w:val="DefaultParagraphFont"/>
    <w:link w:val="9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Style5" w:customStyle="1">
    <w:name w:val="Название Знак"/>
    <w:basedOn w:val="DefaultParagraphFont"/>
    <w:link w:val="a0"/>
    <w:uiPriority w:val="10"/>
    <w:qFormat/>
    <w:rsid w:val="000a4a0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rong">
    <w:name w:val="Strong"/>
    <w:basedOn w:val="DefaultParagraphFont"/>
    <w:uiPriority w:val="22"/>
    <w:qFormat/>
    <w:rsid w:val="000a4a03"/>
    <w:rPr>
      <w:b/>
      <w:bCs/>
    </w:rPr>
  </w:style>
  <w:style w:type="character" w:styleId="Style6">
    <w:name w:val="Интернет-ссылка"/>
    <w:basedOn w:val="DefaultParagraphFont"/>
    <w:uiPriority w:val="99"/>
    <w:unhideWhenUsed/>
    <w:rsid w:val="000a4a03"/>
    <w:rPr>
      <w:color w:val="0000FF"/>
      <w:u w:val="single"/>
    </w:rPr>
  </w:style>
  <w:style w:type="character" w:styleId="22" w:customStyle="1">
    <w:name w:val="Основной текст с отступом 2 Знак"/>
    <w:basedOn w:val="DefaultParagraphFont"/>
    <w:link w:val="21"/>
    <w:qFormat/>
    <w:rsid w:val="0084339e"/>
    <w:rPr>
      <w:rFonts w:ascii="Times New Roman" w:hAnsi="Times New Roman" w:eastAsia="Verdana" w:cs="Times New Roman"/>
      <w:sz w:val="28"/>
      <w:szCs w:val="28"/>
      <w:lang w:eastAsia="zh-CN"/>
    </w:rPr>
  </w:style>
  <w:style w:type="character" w:styleId="Style7" w:customStyle="1">
    <w:name w:val="Текст выноски Знак"/>
    <w:basedOn w:val="DefaultParagraphFont"/>
    <w:link w:val="aa"/>
    <w:uiPriority w:val="99"/>
    <w:semiHidden/>
    <w:qFormat/>
    <w:rsid w:val="00c6066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sid w:val="008557fb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0"/>
    <w:uiPriority w:val="99"/>
    <w:semiHidden/>
    <w:qFormat/>
    <w:rsid w:val="00df1a3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Kd" w:customStyle="1">
    <w:name w:val="kd"/>
    <w:basedOn w:val="DefaultParagraphFont"/>
    <w:qFormat/>
    <w:rsid w:val="00df1a30"/>
    <w:rPr/>
  </w:style>
  <w:style w:type="character" w:styleId="Nc" w:customStyle="1">
    <w:name w:val="nc"/>
    <w:basedOn w:val="DefaultParagraphFont"/>
    <w:qFormat/>
    <w:rsid w:val="00df1a30"/>
    <w:rPr/>
  </w:style>
  <w:style w:type="character" w:styleId="P" w:customStyle="1">
    <w:name w:val="p"/>
    <w:basedOn w:val="DefaultParagraphFont"/>
    <w:qFormat/>
    <w:rsid w:val="00df1a30"/>
    <w:rPr/>
  </w:style>
  <w:style w:type="character" w:styleId="C1" w:customStyle="1">
    <w:name w:val="c1"/>
    <w:basedOn w:val="DefaultParagraphFont"/>
    <w:qFormat/>
    <w:rsid w:val="00df1a30"/>
    <w:rPr/>
  </w:style>
  <w:style w:type="character" w:styleId="N" w:customStyle="1">
    <w:name w:val="n"/>
    <w:basedOn w:val="DefaultParagraphFont"/>
    <w:qFormat/>
    <w:rsid w:val="00df1a30"/>
    <w:rPr/>
  </w:style>
  <w:style w:type="character" w:styleId="K" w:customStyle="1">
    <w:name w:val="k"/>
    <w:basedOn w:val="DefaultParagraphFont"/>
    <w:qFormat/>
    <w:rsid w:val="00df1a30"/>
    <w:rPr/>
  </w:style>
  <w:style w:type="character" w:styleId="O" w:customStyle="1">
    <w:name w:val="o"/>
    <w:basedOn w:val="DefaultParagraphFont"/>
    <w:qFormat/>
    <w:rsid w:val="00df1a30"/>
    <w:rPr/>
  </w:style>
  <w:style w:type="character" w:styleId="Mi" w:customStyle="1">
    <w:name w:val="mi"/>
    <w:basedOn w:val="DefaultParagraphFont"/>
    <w:qFormat/>
    <w:rsid w:val="00df1a30"/>
    <w:rPr/>
  </w:style>
  <w:style w:type="character" w:styleId="Na" w:customStyle="1">
    <w:name w:val="na"/>
    <w:basedOn w:val="DefaultParagraphFont"/>
    <w:qFormat/>
    <w:rsid w:val="00df1a30"/>
    <w:rPr/>
  </w:style>
  <w:style w:type="character" w:styleId="Kt" w:customStyle="1">
    <w:name w:val="kt"/>
    <w:basedOn w:val="DefaultParagraphFont"/>
    <w:qFormat/>
    <w:rsid w:val="00df1a30"/>
    <w:rPr/>
  </w:style>
  <w:style w:type="character" w:styleId="Nf" w:customStyle="1">
    <w:name w:val="nf"/>
    <w:basedOn w:val="DefaultParagraphFont"/>
    <w:qFormat/>
    <w:rsid w:val="00df1a30"/>
    <w:rPr/>
  </w:style>
  <w:style w:type="character" w:styleId="Bp" w:customStyle="1">
    <w:name w:val="bp"/>
    <w:basedOn w:val="DefaultParagraphFont"/>
    <w:qFormat/>
    <w:rsid w:val="00df1a30"/>
    <w:rPr/>
  </w:style>
  <w:style w:type="character" w:styleId="W" w:customStyle="1">
    <w:name w:val="w"/>
    <w:basedOn w:val="DefaultParagraphFont"/>
    <w:qFormat/>
    <w:rsid w:val="00df1a30"/>
    <w:rPr/>
  </w:style>
  <w:style w:type="character" w:styleId="FollowedHyperlink">
    <w:name w:val="FollowedHyperlink"/>
    <w:basedOn w:val="DefaultParagraphFont"/>
    <w:uiPriority w:val="99"/>
    <w:semiHidden/>
    <w:unhideWhenUsed/>
    <w:qFormat/>
    <w:rsid w:val="00da641b"/>
    <w:rPr>
      <w:color w:val="954F72" w:themeColor="followedHyperlink"/>
      <w:u w:val="single"/>
    </w:rPr>
  </w:style>
  <w:style w:type="character" w:styleId="Style8">
    <w:name w:val="Выделение"/>
    <w:basedOn w:val="DefaultParagraphFont"/>
    <w:uiPriority w:val="20"/>
    <w:qFormat/>
    <w:rsid w:val="000039f0"/>
    <w:rPr>
      <w:i/>
      <w:i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600b9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af"/>
    <w:uiPriority w:val="99"/>
    <w:semiHidden/>
    <w:qFormat/>
    <w:rsid w:val="00b600b9"/>
    <w:rPr>
      <w:sz w:val="20"/>
      <w:szCs w:val="20"/>
    </w:rPr>
  </w:style>
  <w:style w:type="character" w:styleId="Style10" w:customStyle="1">
    <w:name w:val="Тема примечания Знак"/>
    <w:basedOn w:val="Style9"/>
    <w:link w:val="af1"/>
    <w:uiPriority w:val="99"/>
    <w:semiHidden/>
    <w:qFormat/>
    <w:rsid w:val="00b600b9"/>
    <w:rPr>
      <w:b/>
      <w:bCs/>
      <w:sz w:val="20"/>
      <w:szCs w:val="20"/>
    </w:rPr>
  </w:style>
  <w:style w:type="character" w:styleId="ListLabel1">
    <w:name w:val="ListLabel 1"/>
    <w:qFormat/>
    <w:rPr>
      <w:rFonts w:cs="Times New Roman"/>
    </w:rPr>
  </w:style>
  <w:style w:type="character" w:styleId="ListLabel2">
    <w:name w:val="ListLabel 2"/>
    <w:qFormat/>
    <w:rPr>
      <w:rFonts w:cs="Times New Roman"/>
    </w:rPr>
  </w:style>
  <w:style w:type="character" w:styleId="ListLabel3">
    <w:name w:val="ListLabel 3"/>
    <w:qFormat/>
    <w:rPr>
      <w:sz w:val="28"/>
    </w:rPr>
  </w:style>
  <w:style w:type="character" w:styleId="ListLabel4">
    <w:name w:val="ListLabel 4"/>
    <w:qFormat/>
    <w:rPr>
      <w:sz w:val="28"/>
    </w:rPr>
  </w:style>
  <w:style w:type="character" w:styleId="ListLabel5">
    <w:name w:val="ListLabel 5"/>
    <w:qFormat/>
    <w:rPr>
      <w:sz w:val="28"/>
    </w:rPr>
  </w:style>
  <w:style w:type="character" w:styleId="ListLabel6">
    <w:name w:val="ListLabel 6"/>
    <w:qFormat/>
    <w:rPr>
      <w:sz w:val="28"/>
    </w:rPr>
  </w:style>
  <w:style w:type="character" w:styleId="ListLabel7">
    <w:name w:val="ListLabel 7"/>
    <w:qFormat/>
    <w:rPr>
      <w:sz w:val="28"/>
    </w:rPr>
  </w:style>
  <w:style w:type="character" w:styleId="ListLabel8">
    <w:name w:val="ListLabel 8"/>
    <w:qFormat/>
    <w:rPr>
      <w:sz w:val="28"/>
    </w:rPr>
  </w:style>
  <w:style w:type="character" w:styleId="ListLabel9">
    <w:name w:val="ListLabel 9"/>
    <w:qFormat/>
    <w:rPr>
      <w:sz w:val="28"/>
    </w:rPr>
  </w:style>
  <w:style w:type="character" w:styleId="ListLabel10">
    <w:name w:val="ListLabel 10"/>
    <w:qFormat/>
    <w:rPr>
      <w:sz w:val="28"/>
    </w:rPr>
  </w:style>
  <w:style w:type="character" w:styleId="ListLabel11">
    <w:name w:val="ListLabel 11"/>
    <w:qFormat/>
    <w:rPr>
      <w:sz w:val="28"/>
    </w:rPr>
  </w:style>
  <w:style w:type="character" w:styleId="ListLabel12">
    <w:name w:val="ListLabel 12"/>
    <w:qFormat/>
    <w:rPr>
      <w:rFonts w:cs="Times New Roman"/>
    </w:rPr>
  </w:style>
  <w:style w:type="character" w:styleId="ListLabel13">
    <w:name w:val="ListLabel 13"/>
    <w:qFormat/>
    <w:rPr>
      <w:rFonts w:cs="Times New Roman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sz w:val="28"/>
    </w:rPr>
  </w:style>
  <w:style w:type="character" w:styleId="ListLabel18">
    <w:name w:val="ListLabel 18"/>
    <w:qFormat/>
    <w:rPr>
      <w:sz w:val="28"/>
    </w:rPr>
  </w:style>
  <w:style w:type="character" w:styleId="ListLabel19">
    <w:name w:val="ListLabel 19"/>
    <w:qFormat/>
    <w:rPr>
      <w:sz w:val="28"/>
    </w:rPr>
  </w:style>
  <w:style w:type="character" w:styleId="ListLabel20">
    <w:name w:val="ListLabel 20"/>
    <w:qFormat/>
    <w:rPr>
      <w:sz w:val="28"/>
    </w:rPr>
  </w:style>
  <w:style w:type="character" w:styleId="ListLabel21">
    <w:name w:val="ListLabel 21"/>
    <w:qFormat/>
    <w:rPr>
      <w:sz w:val="28"/>
    </w:rPr>
  </w:style>
  <w:style w:type="character" w:styleId="ListLabel22">
    <w:name w:val="ListLabel 22"/>
    <w:qFormat/>
    <w:rPr>
      <w:sz w:val="28"/>
    </w:rPr>
  </w:style>
  <w:style w:type="character" w:styleId="ListLabel23">
    <w:name w:val="ListLabel 23"/>
    <w:qFormat/>
    <w:rPr>
      <w:sz w:val="28"/>
    </w:rPr>
  </w:style>
  <w:style w:type="character" w:styleId="ListLabel24">
    <w:name w:val="ListLabel 24"/>
    <w:qFormat/>
    <w:rPr>
      <w:sz w:val="28"/>
    </w:rPr>
  </w:style>
  <w:style w:type="character" w:styleId="ListLabel25">
    <w:name w:val="ListLabel 25"/>
    <w:qFormat/>
    <w:rPr>
      <w:sz w:val="28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8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Courier New"/>
    </w:rPr>
  </w:style>
  <w:style w:type="character" w:styleId="ListLabel110">
    <w:name w:val="ListLabel 110"/>
    <w:qFormat/>
    <w:rPr>
      <w:rFonts w:cs="Courier New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Courier New"/>
    </w:rPr>
  </w:style>
  <w:style w:type="character" w:styleId="ListLabel113">
    <w:name w:val="ListLabel 113"/>
    <w:qFormat/>
    <w:rPr>
      <w:rFonts w:cs="Courier New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Courier New"/>
    </w:rPr>
  </w:style>
  <w:style w:type="character" w:styleId="ListLabel116">
    <w:name w:val="ListLabel 116"/>
    <w:qFormat/>
    <w:rPr>
      <w:rFonts w:cs="Courier New"/>
    </w:rPr>
  </w:style>
  <w:style w:type="character" w:styleId="ListLabel117">
    <w:name w:val="ListLabel 117"/>
    <w:qFormat/>
    <w:rPr>
      <w:rFonts w:cs="Courier New"/>
    </w:rPr>
  </w:style>
  <w:style w:type="character" w:styleId="ListLabel118">
    <w:name w:val="ListLabel 118"/>
    <w:qFormat/>
    <w:rPr>
      <w:rFonts w:cs="Courier New"/>
    </w:rPr>
  </w:style>
  <w:style w:type="character" w:styleId="ListLabel119">
    <w:name w:val="ListLabel 119"/>
    <w:qFormat/>
    <w:rPr>
      <w:rFonts w:ascii="Courier New" w:hAnsi="Courier New" w:cs="Courier New"/>
      <w:i/>
      <w:color w:val="auto"/>
      <w:u w:val="none"/>
    </w:rPr>
  </w:style>
  <w:style w:type="character" w:styleId="ListLabel120">
    <w:name w:val="ListLabel 120"/>
    <w:qFormat/>
    <w:rPr>
      <w:rFonts w:ascii="Calibri Light" w:hAnsi="Calibri Light" w:cs="Calibri Light" w:asciiTheme="majorHAnsi" w:cstheme="majorHAnsi" w:hAnsiTheme="majorHAnsi"/>
      <w:color w:val="auto"/>
      <w:sz w:val="28"/>
      <w:szCs w:val="28"/>
      <w:u w:val="none"/>
    </w:rPr>
  </w:style>
  <w:style w:type="character" w:styleId="ListLabel121">
    <w:name w:val="ListLabel 121"/>
    <w:qFormat/>
    <w:rPr>
      <w:color w:val="auto"/>
      <w:u w:val="none"/>
    </w:rPr>
  </w:style>
  <w:style w:type="character" w:styleId="ListLabel122">
    <w:name w:val="ListLabel 122"/>
    <w:qFormat/>
    <w:rPr/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Title"/>
    <w:basedOn w:val="Normal"/>
    <w:next w:val="Normal"/>
    <w:link w:val="a4"/>
    <w:uiPriority w:val="10"/>
    <w:qFormat/>
    <w:rsid w:val="000a4a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rsid w:val="000a4a0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22"/>
    <w:unhideWhenUsed/>
    <w:qFormat/>
    <w:rsid w:val="0084339e"/>
    <w:pPr>
      <w:suppressAutoHyphens w:val="true"/>
      <w:spacing w:lineRule="auto" w:line="480" w:before="0" w:after="120"/>
      <w:ind w:left="283" w:firstLine="720"/>
      <w:jc w:val="both"/>
    </w:pPr>
    <w:rPr>
      <w:rFonts w:ascii="Times New Roman" w:hAnsi="Times New Roman" w:eastAsia="Verdana" w:cs="Times New Roman"/>
      <w:sz w:val="28"/>
      <w:szCs w:val="28"/>
      <w:lang w:eastAsia="zh-CN"/>
    </w:rPr>
  </w:style>
  <w:style w:type="paragraph" w:styleId="Style17" w:customStyle="1">
    <w:name w:val="АбзацОсновной"/>
    <w:qFormat/>
    <w:rsid w:val="0084339e"/>
    <w:pPr>
      <w:widowControl w:val="false"/>
      <w:suppressLineNumbers/>
      <w:suppressAutoHyphens w:val="true"/>
      <w:bidi w:val="0"/>
      <w:spacing w:lineRule="atLeast" w:line="100" w:before="57" w:after="28"/>
      <w:ind w:firstLine="720"/>
      <w:jc w:val="both"/>
    </w:pPr>
    <w:rPr>
      <w:rFonts w:ascii="Times New Roman" w:hAnsi="Times New Roman" w:eastAsia="Times New Roman" w:cs="Tahoma"/>
      <w:color w:val="auto"/>
      <w:kern w:val="2"/>
      <w:sz w:val="28"/>
      <w:szCs w:val="24"/>
      <w:lang w:eastAsia="zh-CN" w:val="ru-RU" w:bidi="ar-SA"/>
    </w:rPr>
  </w:style>
  <w:style w:type="paragraph" w:styleId="Style18" w:customStyle="1">
    <w:name w:val="АбзацОсновнойМаркированный"/>
    <w:basedOn w:val="Style17"/>
    <w:autoRedefine/>
    <w:qFormat/>
    <w:rsid w:val="0084339e"/>
    <w:pPr>
      <w:spacing w:before="0" w:after="28"/>
    </w:pPr>
    <w:rPr/>
  </w:style>
  <w:style w:type="paragraph" w:styleId="BalloonText">
    <w:name w:val="Balloon Text"/>
    <w:basedOn w:val="Normal"/>
    <w:link w:val="ab"/>
    <w:uiPriority w:val="99"/>
    <w:semiHidden/>
    <w:unhideWhenUsed/>
    <w:qFormat/>
    <w:rsid w:val="00c6066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dmonitiontitle" w:customStyle="1">
    <w:name w:val="admonition-title"/>
    <w:basedOn w:val="Normal"/>
    <w:qFormat/>
    <w:rsid w:val="008557f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df1a3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Annotationtext">
    <w:name w:val="annotation text"/>
    <w:basedOn w:val="Normal"/>
    <w:link w:val="af0"/>
    <w:uiPriority w:val="99"/>
    <w:semiHidden/>
    <w:unhideWhenUsed/>
    <w:qFormat/>
    <w:rsid w:val="00b600b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2"/>
    <w:uiPriority w:val="99"/>
    <w:semiHidden/>
    <w:unhideWhenUsed/>
    <w:qFormat/>
    <w:rsid w:val="00b600b9"/>
    <w:pPr/>
    <w:rPr>
      <w:b/>
      <w:bCs/>
    </w:rPr>
  </w:style>
  <w:style w:type="paragraph" w:styleId="ListParagraph">
    <w:name w:val="List Paragraph"/>
    <w:basedOn w:val="Normal"/>
    <w:uiPriority w:val="34"/>
    <w:qFormat/>
    <w:rsid w:val="00c8751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github.com/exonum/exonum/" TargetMode="External"/><Relationship Id="rId3" Type="http://schemas.openxmlformats.org/officeDocument/2006/relationships/hyperlink" Target="http://github.com/exonum/exonum/" TargetMode="External"/><Relationship Id="rId4" Type="http://schemas.openxmlformats.org/officeDocument/2006/relationships/hyperlink" Target="https://en.wikipedia.org/wiki/Database_transaction" TargetMode="External"/><Relationship Id="rId5" Type="http://schemas.openxmlformats.org/officeDocument/2006/relationships/hyperlink" Target="https://exonum.com/doc/version/latest/architecture/services/" TargetMode="External"/><Relationship Id="rId6" Type="http://schemas.openxmlformats.org/officeDocument/2006/relationships/hyperlink" Target="https://en.wikipedia.org/wiki/ACID" TargetMode="External"/><Relationship Id="rId7" Type="http://schemas.openxmlformats.org/officeDocument/2006/relationships/hyperlink" Target="https://exonum.com/ru/doc/architecture/consensus/" TargetMode="External"/><Relationship Id="rId8" Type="http://schemas.openxmlformats.org/officeDocument/2006/relationships/hyperlink" Target="https://en.wikipedia.org/wiki/Total_order" TargetMode="External"/><Relationship Id="rId9" Type="http://schemas.openxmlformats.org/officeDocument/2006/relationships/hyperlink" Target="https://en.wikipedia.org/wiki/SHA-2" TargetMode="External"/><Relationship Id="rId10" Type="http://schemas.openxmlformats.org/officeDocument/2006/relationships/hyperlink" Target="https://exonum.com/doc/version/latest/architecture/clients/" TargetMode="External"/><Relationship Id="rId11" Type="http://schemas.openxmlformats.org/officeDocument/2006/relationships/hyperlink" Target="https://exonum.com/doc/advanced/consensus/requests/" TargetMode="External"/><Relationship Id="rId12" Type="http://schemas.openxmlformats.org/officeDocument/2006/relationships/hyperlink" Target="https://github.com/tendermint/tendermint/wiki/Byzantine-Consensus-Algorithm" TargetMode="External"/><Relationship Id="rId13" Type="http://schemas.openxmlformats.org/officeDocument/2006/relationships/hyperlink" Target="https://habr.com/ru/post/350012/" TargetMode="External"/><Relationship Id="rId14" Type="http://schemas.openxmlformats.org/officeDocument/2006/relationships/image" Target="media/image1.png"/><Relationship Id="rId15" Type="http://schemas.openxmlformats.org/officeDocument/2006/relationships/oleObject" Target="embeddings/oleObject1.bin"/><Relationship Id="rId16" Type="http://schemas.openxmlformats.org/officeDocument/2006/relationships/image" Target="media/image2.emf"/><Relationship Id="rId17" Type="http://schemas.openxmlformats.org/officeDocument/2006/relationships/oleObject" Target="embeddings/oleObject2.bin"/><Relationship Id="rId18" Type="http://schemas.openxmlformats.org/officeDocument/2006/relationships/image" Target="media/image3.emf"/><Relationship Id="rId19" Type="http://schemas.openxmlformats.org/officeDocument/2006/relationships/hyperlink" Target="https://exonum.com/doc/architecture/storage/" TargetMode="External"/><Relationship Id="rId20" Type="http://schemas.openxmlformats.org/officeDocument/2006/relationships/hyperlink" Target="https://ru.wikipedia.org/wiki/HMAC" TargetMode="External"/><Relationship Id="rId21" Type="http://schemas.openxmlformats.org/officeDocument/2006/relationships/oleObject" Target="embeddings/oleObject3.bin"/><Relationship Id="rId22" Type="http://schemas.openxmlformats.org/officeDocument/2006/relationships/image" Target="media/image4.emf"/><Relationship Id="rId23" Type="http://schemas.openxmlformats.org/officeDocument/2006/relationships/oleObject" Target="embeddings/oleObject4.bin"/><Relationship Id="rId24" Type="http://schemas.openxmlformats.org/officeDocument/2006/relationships/image" Target="media/image5.emf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AF8B-27A4-4BCD-9BE4-67470F7E3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LibreOffice/6.1.6.3$Windows_X86_64 LibreOffice_project/5896ab1714085361c45cf540f76f60673dd96a72</Application>
  <Pages>18</Pages>
  <Words>2323</Words>
  <Characters>15998</Characters>
  <CharactersWithSpaces>18160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2019-03-19T16:10:00Z</dcterms:created>
  <dc:creator>Андрей</dc:creator>
  <dc:description/>
  <dc:language>ru-RU</dc:language>
  <cp:lastModifiedBy/>
  <cp:lastPrinted>2019-12-19T15:23:22Z</cp:lastPrinted>
  <dcterms:modified xsi:type="dcterms:W3CDTF">2019-12-19T16:39:11Z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