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2"/>
        <w:jc w:val="center"/>
        <w:rPr>
          <w:rFonts w:ascii="Calibri Light" w:hAnsi="Calibri Light" w:cs="Calibri Light" w:asciiTheme="majorHAnsi" w:cstheme="majorHAnsi" w:hAnsiTheme="majorHAnsi"/>
          <w:b/>
          <w:b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b/>
          <w:sz w:val="26"/>
          <w:szCs w:val="26"/>
        </w:rPr>
        <w:t xml:space="preserve">Блокчейн-конструктор </w:t>
      </w:r>
      <w:r>
        <w:rPr>
          <w:rFonts w:cs="Calibri Light" w:ascii="Calibri Light" w:hAnsi="Calibri Light" w:asciiTheme="majorHAnsi" w:cstheme="majorHAnsi" w:hAnsiTheme="majorHAnsi"/>
          <w:b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b/>
          <w:sz w:val="26"/>
          <w:szCs w:val="26"/>
        </w:rPr>
        <w:t>, как инструмент создания децентрализованных информационных систем, от корпоративных до публичных</w:t>
      </w:r>
    </w:p>
    <w:p>
      <w:pPr>
        <w:pStyle w:val="Normal"/>
        <w:tabs>
          <w:tab w:val="clear" w:pos="708"/>
          <w:tab w:val="left" w:pos="993" w:leader="none"/>
          <w:tab w:val="left" w:pos="1134" w:leader="none"/>
        </w:tabs>
        <w:spacing w:lineRule="auto" w:line="252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Основная сфера применения блокчейнов в настоящее время – это электронные деньги, которые настолько</w:t>
        <w:softHyphen/>
        <w:softHyphen/>
        <w:softHyphen/>
        <w:softHyphen/>
        <w:t xml:space="preserve"> прижились в определенных сферах человеческих отношений, что фактически заменили бумажные деньги. Но как не странно, решения блокчейна класса «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Proof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of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Work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»</w:t>
      </w:r>
      <w:r>
        <w:rPr>
          <w:rStyle w:val="Style10"/>
          <w:rFonts w:cs="Calibri Light" w:ascii="Calibri Light" w:hAnsi="Calibri Light" w:asciiTheme="majorHAnsi" w:cstheme="majorHAnsi" w:hAnsiTheme="majorHAnsi"/>
          <w:sz w:val="26"/>
          <w:szCs w:val="26"/>
        </w:rPr>
        <w:footnoteReference w:id="2"/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PoW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) оказались полностью непригодными для классических финансовых и корпоративных структур. И в тоже время, сама технология распределенного реестра показала свою гибкость и универса</w:t>
        <w:softHyphen/>
        <w:softHyphen/>
        <w:softHyphen/>
        <w:softHyphen/>
        <w:softHyphen/>
        <w:t>льность с появлением блокчейнов класса «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Proof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of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Stake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»</w:t>
      </w:r>
      <w:r>
        <w:rPr>
          <w:rStyle w:val="Style10"/>
          <w:rFonts w:cs="Calibri Light" w:ascii="Calibri Light" w:hAnsi="Calibri Light" w:asciiTheme="majorHAnsi" w:cstheme="majorHAnsi" w:hAnsiTheme="majorHAnsi"/>
          <w:sz w:val="26"/>
          <w:szCs w:val="26"/>
        </w:rPr>
        <w:footnoteReference w:id="3"/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(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).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Одно из важных свойств технологии, с точки зрения корпоративных систем, это устойчивость к действиям внутреннего нарушителя и даже сговору внутренних нарушителей.  Это самое главное свойство безопасности технологии блокчейна, которое будет востребовано в ближайшее время в корпоративных системах. Ни для кого не секрет, что достаточно большое количество компаний оказывались в глубоком кризисе из-за руководителей разного уровня, которые занимались «искажением» отчетностей…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Блокчейн конструктор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является представителем блокчейнов класса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, в котором решена проблема скорости (времени) создания блоков для блокчейн-сети с большим количеством узлов, что в первую очередь востребовано для создания публичных блокчейн-сетей. С этой целью, командой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был разработан авторский алгоритм консенсуса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sdBFT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. Вокруг ядра блокчейна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создана экосистема, позволяющая адаптировать блокчейн под практически любые бизнес-задачи, как публичных, так и корпоративных сетей. Все начинается с генезис блока, в котором описываются базовые характеристики блокчейна, и заканчивается плагинами (развитие идеологии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smart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контрактов) реализующими специфическую логику бизнес-задачи и интеграцию с существующими централизованными системами.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Архитектура – экосистемема конструктора: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 ядро блокчейна – программный комплекс, который обеспечивает работу блокчейн сети (написано на языке с/с++);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 клиентское API – набор библиотек для подключения клиентских приложений, например, мобильных и стационарных кошельков, терминалов и т.п.;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- API сопряжения с существующими системами – набор библиотек для организации взаимодействия с централизованными автоматизированными системами посредством очереди сообщений Apache Kafka либо экспорт в базу данных через интерфейсы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ODBC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 типового кошелька – кроссплатформенной программы графического кошелька для работы с блокчейн сетью, функционирующей на базе блокчейн конструктора Sumus;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 блокчейн эксплорера – веб приложения для предоставления через браузер информации о работе сети блокчейн, в том числе количестве принятых блоков, транзакциях, входящих в блок, балансов кошельков и т.п., в т.ч. веб-кошелек;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 смарт-контрактов – комплекс программных модулей, реализующих бизнес-логику блокчейна;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 консольного клиента – кроссплатформенное приложение, предназначенное для взаимодействия с ядром блокчейн сети.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Немного о плагинах (смарт-контрактах) в блокчейн-конструкторе и их роли в стирании границы между корпоративными и публичными блокчейнами: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«Смарт-контракт» — это устоявшийся термин, который обозначает технологию реализации бизнес-логики поверх работающего блокчейна. Отличительной особенностью «умного контрата» в блокчейне, является логика его исполнения, зависящая от состояния сети блокчейна и фиксация результата исполнения «смарт-контракта» в блокчейне.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Технологий реализации смарт-контрактов достаточно много, но самой популярной является реализация смарт-контракт в блокчейне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Ethereum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( несмотря на то, что первый аналог смарт-контракта был реализован в Биткоине). Смарт контракты для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Ethereum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разрабатываются на специально созданном языке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Solidity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.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Solidity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– не является полноценным языком программирования, в классическом понимании. Его функционал архитектурно ограничен в целях обеспечения безопасности информации в публичном блокчейне построенном на принципах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PoW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. Количество публикаций об обнаруженных ошибках и уязвимостях в языке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Solidity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постоянно растет. 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Блокчейн-конструктор, как было сказано ранее, функционирует на принципах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(алгоритм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sdBFT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), что позволило реализовать иную технологию «Смарт-контрактов» в блокчейне. Безопасность исполнения смарт-контрактов в блокчейн-конструкторе базируется на интеграции проверки контракта на этапе достижения консенсуса между узлами, и если нет консенсуса по конкретному действию контракта, то его результат не будет включен в блок. Как следствие, это позволяет вводить в работающем блокчейне новые типы транзакций (такого нет даже у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Ethereum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). 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Архитектурное разделение блокчейна и его плагинов, позволяет гарантировать невлияние кода плагина на работу ноды блокчейна.  Т.е. неработающий плагин, это проблема его разработчика (владельца), а не блокчейна в целом.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Один из успешных примеров применения плагинной технологии, это реализация на этих технологиях децентрализованного удостоверяющего центра. В новой архитектуре удалось убрать единую точку отказа (закрытый ключ корневого УЦ) и создать гибкую бизнес-логику по обработке заявок на сертификацию, и как следствие повысить скорость и надежность системы удостоверяющего центра.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Другие примеры реализованных плагинов: интеграция с другими блокчейнами (биткоин, этереум, монеро…); интеграция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c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ERP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системой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Ma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-3 (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TOTVS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); интеграция с 1С по фиксации первичных документов вносимых в бухгалтерию; «черный ящик» хранения критической информации о функционировании автоматизированных (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SCADA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) систем атомных станций (Росатом); авторизация устройств класса интернета вещей с использованием распределенного удостоверяющего центра.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Стоит отметить, что классическая реализация смарт-контракта имеет один серьезный изъян – сложность интеграции своей работы в прикладные программы. В качестве примера можно привести реализацию игр на смарт-контрактах… когда для одного смарт-контракта делают отдельное приложение, которое никоим образом не может быть использовано для работы с другими смарт-контрактами.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В блокчейн-конструкторе данный изъян обходится следующим образом – реализован режим функционирования ноды в качестве  сервера приложений (концепция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BaaS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). В этом режиме: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 узел сети блокчейна отображает блокчейн в реляционную базу данных (с этими данными на прямую может работать любое внешнее приложение);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 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предоставляет доступ к данным блокчейна через легкий протокол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json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rpc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over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https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, который позволяет обращаться из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Web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Application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напрямую в блокчейн, в т.ч. формировать транзакции, обрабатываемые плагинами блокчейн-конструктора;</w:t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 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может предоставлять доступ к данным блокчейна через расширенный протокол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json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rpc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over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http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, который содержит дополнительные команды и сообщения актуальные для смарт-контрактов.</w:t>
      </w:r>
    </w:p>
    <w:p>
      <w:pPr>
        <w:pStyle w:val="Normal"/>
        <w:tabs>
          <w:tab w:val="clear" w:pos="708"/>
          <w:tab w:val="left" w:pos="993" w:leader="none"/>
          <w:tab w:val="left" w:pos="1134" w:leader="none"/>
        </w:tabs>
        <w:spacing w:lineRule="auto" w:line="252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Что блокчейн-конструктор может дать корпоративным системам? Во-первых, уверенность в том, что некорректные действия обслуживающего персонала и/или разработчика не выведут систему строя, как в функциональной так и физической плоскости. Во-вторых, это повышенная целостность и достоверность обрабатываемых данных, а также большая прозрачность бизнес-процессов, происходящих в системе.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Почему блокчейн может дать такую уверенность? Ответ в архитектуре.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Устойчивость функционирования блокчейн сети, созданной на технологиях блокчейн конструктора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заключается в том, что система после запуска функционирует непрерывно, в независимости от того какие узлы работают, а какие нет. Бизнес-логика, реализованная через «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plugins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» интерфейсы, не может влиять на работу текущего блокчейна или работу других плагинов. И, пожалуй, самое главное достоинство блокчейн технологии - отсутствие влияния человека на принятие решения и невозможность изменить (исказить) ранее принятые транзакции. Но за человеком остаётся право, на то как относиться к информации записанной в блокчейн…</w:t>
      </w:r>
    </w:p>
    <w:p>
      <w:pPr>
        <w:pStyle w:val="Normal"/>
        <w:tabs>
          <w:tab w:val="clear" w:pos="708"/>
          <w:tab w:val="left" w:pos="993" w:leader="none"/>
          <w:tab w:val="left" w:pos="1134" w:leader="none"/>
        </w:tabs>
        <w:spacing w:lineRule="auto" w:line="252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Normal"/>
        <w:spacing w:lineRule="auto" w:line="252"/>
        <w:ind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Эти достоинства могут поднять безопасность и надежность информационной системы на уровень не достижимый в классических централизованных системах. Каким образом это достигается?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Реализация сложных бизнес ориентированных транзакций в виде специальных транзакций блокчейна (описанных на внутреннем языке конструктора) и/или с помощью плагинной системы блокчейн конструктора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(которая позволяет заимствовать программный код из существующих систем). Основное отличие от централизованных систем будет заключаться в том, что верификация транзакции будет осуществляться не в плоскости вышестоящий центр – подчиненный центр, а неким случайным множеством узлов, которые реализуют консенсус по принятию блока в текущий момент времени. Если транзакция корректна, включая ее логическое содержание, то она будет включена в блок.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В централизованных системах есть иерархия утверждения «распоряжений». Такая логика работы в конструкторе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осуществляется с помощью ролевой модели, которая позволит наделять определенные аккаунты специальными привилегиями, а их полномочия описывать при создании транзакций. Соответственно, установка или снятие привилегий с определенного адреса находит свое отражение в блокчейне.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Производительности существующего ядра блокчейн-конструктора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в 10 000 транзакций в секунду должно с запасом хватать под текущие и перспективные бизнес-задачи, а горизонтальная масштабируемость до 10 000 узлов – покрыть любые требования по степени децентрализации (в отличие от других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, у которых начинается деградация по скорости от 22 узлов).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Любая система должна постоянно адаптироваться под новые требования потребителей/национальных регуляторов. Как это реализуется в централизованной системе понятно – централизованное обновление программного обеспечения. Для блокчейна с этим сложнее, но в конструкторе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эта задача решена через плагинную систему, которая безопасным и децентрализованным образом распространяет по сети новые (обновленные) плагины с новой логикой обработки транзакций или даже новыми типами транзакций. При этом старые транзакции, при проверке блоков блокчейна, будут всегда обрабатываться в рамках старой логики, действовавшей на момент принятия блока.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709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Блокчейн обеспечивает открытость и прозрачность. В любой момент можно развернуть цепочку событий (транзакций) и принять по ним объективное решение.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В качестве демонстрации логики создания децентрализованной системы с помощью конструктора, создадим для финансовой структуры систему автономного проведения платежей ее клиентами  (автономно от работы банка).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Используя технологии блокчейн конструктора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, клиенты финансовой структуры получат круглосуточную возможность проведения  финансовых платежей и практически мгновенный перевод средств (это свойство из «коробки»). Остается решить проблемы эмиссии средств (токенов) в блокчейне, обеспечивая тем самым необходимую ликвидность, а также конвертацию токенов системы в расчетные единицы финансовой структуры.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Для так называемого приватного блокчейна, у которого есть владелец (финансовая структура) – задача решается достаточно просто. В блокчейне, на уровне генезис блока, должны быть определены системные аккаунты, которые могут выполнять привилегированные транзакции (транзакция эмиссии/обратной эмиссия).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При строительстве блокчейн-сети, финансовой структурой может быть выбрана одна из стратегий: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 все узлы подконтрольны финансовой структуре, у партнеров/клиентов могут быть только копии блокчейна для общественного контроля;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- узлы блокчен-сети, только частично находятся под контролем финансовой структуры, остальные узлы контролируются партнерами/клиентами (за это они получают некую выгоду, например депозитный процент на токены, находящиеся на узлах блокчейн сети…).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Информационная безопасность у обеих стратегий практически одинаковая, а вот устойчивость функционирования блокчейн сети при второй стратегии развертывания, заметно выше.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Возможно, для повышения доверия к приватному блокчейну финансовой структуры необходимо будет периодически публиковать в блокчейне документ подтверждающий, что эмитированные токены системы имеют достаточные и подтвержденные резервы.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Выполнение требований национального законодательства возможно осуществлять в момент конвертации токенов системы в безналичные деньги. С  учетом того, что в все транзакции открытые и легко прослеживаются, возможности мошенничества резко сокращаются.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Стоит отметить, что в независимости от сложности бизнес-логики финансовой структуры, ее можно реализовать с помощью существующих механизмов блокчейн-конструктора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Sumus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(так называемый проектно-зависимый код блокчейн конструктора). А с помощью плагинной технологии конструктора, сопровождать ее на всех этапах жизненного цикла. Т.е. после запуска блокчейн сети, можно вводить новые финансовые продукты, например обмен токенов «вирт.рубль» на «вирт.евро», кредитование токенами, депозит в токенах, облигации и т.д.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В место заключения. 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В чем отличие корпоративной системы от публичной? Наверное в людях, заставляющих систему запуститься и функционировать. На этапе создания/запуска систем очевидно, что без воли авторов/владельцев системы ничего не получится, а вот после запуска систем появляются различия. Для корпоративной системы – ничего не меняется, а для публичной системы на первый план выходит мотивация участников системы, которые будут тратить свои ресурсы на поддержание блокчейн сети (мотивация на сленге, для сетей типа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PoW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- это майнинг, для 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  <w:lang w:val="en-US"/>
        </w:rPr>
        <w:t>PoS</w:t>
      </w: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 xml:space="preserve"> – минтинг/форжинг).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Мотивация… это тоже бизнес логика, которая закладывается в логику работы блокчейна и заставляет людей тратить свои ресурсы и время на поддержку системы в обмен на некие «виртуальные» блага. В зависимости от того, насколько авторы публичной блокчейн-сети заложили правильный мотивационный стимул, на столько живучей будет блокчейн-</w:t>
      </w:r>
      <w:bookmarkStart w:id="0" w:name="_GoBack"/>
      <w:bookmarkEnd w:id="0"/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сеть.</w:t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>
          <w:rFonts w:ascii="Calibri Light" w:hAnsi="Calibri Light" w:cs="Calibri Light" w:asciiTheme="majorHAnsi" w:cstheme="majorHAnsi" w:hAnsiTheme="majorHAnsi"/>
          <w:sz w:val="26"/>
          <w:szCs w:val="26"/>
        </w:rPr>
      </w:pPr>
      <w:r>
        <w:rPr>
          <w:rFonts w:cs="Calibri Light" w:cstheme="majorHAnsi" w:ascii="Calibri Light" w:hAnsi="Calibri Light"/>
          <w:sz w:val="26"/>
          <w:szCs w:val="26"/>
        </w:rPr>
      </w:r>
    </w:p>
    <w:p>
      <w:pPr>
        <w:pStyle w:val="ListParagraph"/>
        <w:tabs>
          <w:tab w:val="clear" w:pos="708"/>
          <w:tab w:val="left" w:pos="993" w:leader="none"/>
          <w:tab w:val="left" w:pos="1134" w:leader="none"/>
        </w:tabs>
        <w:spacing w:lineRule="auto" w:line="252"/>
        <w:ind w:left="0" w:firstLine="680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6"/>
          <w:szCs w:val="26"/>
        </w:rPr>
        <w:t>Приложения: Описание плагинов для блокчейн конструктора.</w:t>
      </w:r>
    </w:p>
    <w:sectPr>
      <w:footerReference w:type="default" r:id="rId2"/>
      <w:footnotePr>
        <w:numFmt w:val="decimal"/>
      </w:footnotePr>
      <w:type w:val="nextPage"/>
      <w:pgSz w:w="11906" w:h="16838"/>
      <w:pgMar w:left="1701" w:right="850" w:header="0" w:top="1134" w:footer="708" w:bottom="765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49312725"/>
    </w:sdtPr>
    <w:sdtContent>
      <w:p>
        <w:pPr>
          <w:pStyle w:val="Style30"/>
          <w:rPr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6</w:t>
        </w:r>
        <w:r>
          <w:rPr>
            <w:rStyle w:val="Pagenumber"/>
          </w:rPr>
          <w:fldChar w:fldCharType="end"/>
        </w:r>
      </w:p>
    </w:sdtContent>
  </w:sdt>
  <w:p>
    <w:pPr>
      <w:pStyle w:val="Style30"/>
      <w:ind w:right="360" w:hanging="0"/>
      <w:rPr/>
    </w:pPr>
    <w:r>
      <w:rPr>
        <w:rFonts w:eastAsia="Symbol" w:cs="Symbol" w:ascii="Symbol" w:hAnsi="Symbol"/>
      </w:rPr>
      <w:t></w:t>
    </w:r>
    <w:r>
      <w:rPr>
        <w:lang w:val="en-US"/>
      </w:rPr>
      <w:t xml:space="preserve"> </w:t>
    </w:r>
    <w:r>
      <w:rPr>
        <w:lang w:val="en-US"/>
      </w:rPr>
      <w:t>sumus</w:t>
    </w:r>
    <w:r>
      <w:rPr/>
      <w:t xml:space="preserve"> </w:t>
    </w:r>
    <w:r>
      <w:rPr>
        <w:lang w:val="en-US"/>
      </w:rPr>
      <w:t>team</w:t>
    </w:r>
    <w:r>
      <w:rPr/>
      <w:t xml:space="preserve"> </w:t>
    </w:r>
    <w:r>
      <w:rPr>
        <w:lang w:val="en-US"/>
      </w:rPr>
      <w:t xml:space="preserve"> </w:t>
    </w:r>
    <w:r>
      <w:rPr/>
      <w:tab/>
      <w:tab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Style27"/>
        <w:rPr/>
      </w:pPr>
      <w:r>
        <w:rPr>
          <w:rStyle w:val="Style18"/>
        </w:rPr>
        <w:footnoteRef/>
      </w:r>
      <w:r>
        <w:rPr/>
        <w:t xml:space="preserve"> </w:t>
      </w:r>
      <w:r>
        <w:rPr/>
        <w:t>Метод формирования очередного блока в цепочке блокчейна, основанный на асимметрии времени вычисления нахождения решения задачи и времени проверки результата.</w:t>
      </w:r>
    </w:p>
  </w:footnote>
  <w:footnote w:id="3">
    <w:p>
      <w:pPr>
        <w:pStyle w:val="Style27"/>
        <w:rPr/>
      </w:pPr>
      <w:r>
        <w:rPr>
          <w:rStyle w:val="Style18"/>
        </w:rPr>
        <w:footnoteRef/>
      </w:r>
      <w:r>
        <w:rPr/>
        <w:t xml:space="preserve"> </w:t>
      </w:r>
      <w:r>
        <w:rPr/>
        <w:t xml:space="preserve">Альтернативный метод, по отношению к </w:t>
      </w:r>
      <w:r>
        <w:rPr>
          <w:lang w:val="en-US"/>
        </w:rPr>
        <w:t>PoW</w:t>
      </w:r>
      <w:r>
        <w:rPr/>
        <w:t>, который основан на вероятности формирования очередного блока пропорционально доле владения участника сети.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2"/>
  <w:defaultTabStop w:val="708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0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3">
    <w:name w:val="Heading 3"/>
    <w:basedOn w:val="Normal"/>
    <w:next w:val="Normal"/>
    <w:link w:val="30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character" w:styleId="41" w:customStyle="1">
    <w:name w:val="Заголовок 4 Знак"/>
    <w:basedOn w:val="DefaultParagraphFont"/>
    <w:link w:val="4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4472C4" w:themeColor="accent1"/>
    </w:rPr>
  </w:style>
  <w:style w:type="character" w:styleId="51" w:customStyle="1">
    <w:name w:val="Заголовок 5 Знак"/>
    <w:basedOn w:val="DefaultParagraphFont"/>
    <w:link w:val="5"/>
    <w:uiPriority w:val="9"/>
    <w:qFormat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qFormat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yle5" w:customStyle="1">
    <w:name w:val="Заголовок Знак"/>
    <w:basedOn w:val="DefaultParagraphFont"/>
    <w:link w:val="a5"/>
    <w:uiPriority w:val="10"/>
    <w:qFormat/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  <w:spacing w:val="5"/>
      <w:sz w:val="52"/>
      <w:szCs w:val="52"/>
    </w:rPr>
  </w:style>
  <w:style w:type="character" w:styleId="Style6" w:customStyle="1">
    <w:name w:val="Подзаголовок Знак"/>
    <w:basedOn w:val="DefaultParagraphFont"/>
    <w:link w:val="a7"/>
    <w:uiPriority w:val="11"/>
    <w:qFormat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Style7">
    <w:name w:val="Выделение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22" w:customStyle="1">
    <w:name w:val="Цитата 2 Знак"/>
    <w:basedOn w:val="DefaultParagraphFont"/>
    <w:link w:val="21"/>
    <w:uiPriority w:val="29"/>
    <w:qFormat/>
    <w:rPr>
      <w:i/>
      <w:iCs/>
      <w:color w:val="000000" w:themeColor="text1"/>
    </w:rPr>
  </w:style>
  <w:style w:type="character" w:styleId="Style8" w:customStyle="1">
    <w:name w:val="Выделенная цитата Знак"/>
    <w:basedOn w:val="DefaultParagraphFont"/>
    <w:link w:val="ad"/>
    <w:uiPriority w:val="30"/>
    <w:qFormat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Style9" w:customStyle="1">
    <w:name w:val="Текст сноски Знак"/>
    <w:basedOn w:val="DefaultParagraphFont"/>
    <w:link w:val="af2"/>
    <w:uiPriority w:val="99"/>
    <w:semiHidden/>
    <w:qFormat/>
    <w:rPr>
      <w:sz w:val="20"/>
      <w:szCs w:val="20"/>
    </w:rPr>
  </w:style>
  <w:style w:type="character" w:styleId="Style10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1" w:customStyle="1">
    <w:name w:val="Текст концевой сноски Знак"/>
    <w:basedOn w:val="DefaultParagraphFont"/>
    <w:link w:val="af5"/>
    <w:uiPriority w:val="99"/>
    <w:semiHidden/>
    <w:qFormat/>
    <w:rPr>
      <w:sz w:val="20"/>
      <w:szCs w:val="20"/>
    </w:rPr>
  </w:style>
  <w:style w:type="character" w:styleId="Style12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Интернет-ссылка"/>
    <w:basedOn w:val="DefaultParagraphFont"/>
    <w:uiPriority w:val="99"/>
    <w:unhideWhenUsed/>
    <w:rPr>
      <w:color w:val="0563C1" w:themeColor="hyperlink"/>
      <w:u w:val="single"/>
    </w:rPr>
  </w:style>
  <w:style w:type="character" w:styleId="Style14" w:customStyle="1">
    <w:name w:val="Текст Знак"/>
    <w:basedOn w:val="DefaultParagraphFont"/>
    <w:link w:val="af9"/>
    <w:uiPriority w:val="99"/>
    <w:qFormat/>
    <w:rPr>
      <w:rFonts w:ascii="Courier New" w:hAnsi="Courier New" w:cs="Courier New"/>
      <w:sz w:val="21"/>
      <w:szCs w:val="21"/>
    </w:rPr>
  </w:style>
  <w:style w:type="character" w:styleId="Style15" w:customStyle="1">
    <w:name w:val="Верхний колонтитул Знак"/>
    <w:basedOn w:val="DefaultParagraphFont"/>
    <w:link w:val="afb"/>
    <w:uiPriority w:val="99"/>
    <w:qFormat/>
    <w:rPr/>
  </w:style>
  <w:style w:type="character" w:styleId="Style16" w:customStyle="1">
    <w:name w:val="Нижний колонтитул Знак"/>
    <w:basedOn w:val="DefaultParagraphFont"/>
    <w:link w:val="afd"/>
    <w:uiPriority w:val="99"/>
    <w:qFormat/>
    <w:rPr/>
  </w:style>
  <w:style w:type="character" w:styleId="Style17" w:customStyle="1">
    <w:name w:val="Текст выноски Знак"/>
    <w:basedOn w:val="DefaultParagraphFont"/>
    <w:link w:val="aff"/>
    <w:uiPriority w:val="99"/>
    <w:semiHidden/>
    <w:qFormat/>
    <w:rsid w:val="008969a7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qFormat/>
    <w:rsid w:val="00104851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Style18">
    <w:name w:val="Символ сноски"/>
    <w:qFormat/>
    <w:rPr/>
  </w:style>
  <w:style w:type="character" w:styleId="Style19">
    <w:name w:val="Символ концевой сноски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Ari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Style25">
    <w:name w:val="Title"/>
    <w:basedOn w:val="Normal"/>
    <w:next w:val="Normal"/>
    <w:link w:val="a6"/>
    <w:uiPriority w:val="10"/>
    <w:qFormat/>
    <w:pPr>
      <w:pBdr>
        <w:bottom w:val="single" w:sz="8" w:space="4" w:color="4472C4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  <w:spacing w:val="5"/>
      <w:sz w:val="52"/>
      <w:szCs w:val="52"/>
    </w:rPr>
  </w:style>
  <w:style w:type="paragraph" w:styleId="Style26">
    <w:name w:val="Subtitle"/>
    <w:basedOn w:val="Normal"/>
    <w:next w:val="Normal"/>
    <w:link w:val="a8"/>
    <w:uiPriority w:val="11"/>
    <w:qFormat/>
    <w:pPr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</w:rPr>
  </w:style>
  <w:style w:type="paragraph" w:styleId="Quote">
    <w:name w:val="Quote"/>
    <w:basedOn w:val="Normal"/>
    <w:next w:val="Normal"/>
    <w:link w:val="22"/>
    <w:uiPriority w:val="29"/>
    <w:qFormat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ae"/>
    <w:uiPriority w:val="30"/>
    <w:qFormat/>
    <w:pPr>
      <w:pBdr>
        <w:bottom w:val="single" w:sz="4" w:space="4" w:color="4472C4"/>
      </w:pBdr>
      <w:spacing w:before="200" w:after="280"/>
      <w:ind w:left="936" w:right="936" w:hanging="0"/>
    </w:pPr>
    <w:rPr>
      <w:b/>
      <w:bCs/>
      <w:i/>
      <w:iCs/>
      <w:color w:val="4472C4" w:themeColor="accent1"/>
    </w:rPr>
  </w:style>
  <w:style w:type="paragraph" w:styleId="Style27">
    <w:name w:val="Footnote Text"/>
    <w:basedOn w:val="Normal"/>
    <w:link w:val="af3"/>
    <w:uiPriority w:val="99"/>
    <w:semiHidden/>
    <w:unhideWhenUsed/>
    <w:pPr/>
    <w:rPr>
      <w:sz w:val="20"/>
      <w:szCs w:val="20"/>
    </w:rPr>
  </w:style>
  <w:style w:type="paragraph" w:styleId="Style28">
    <w:name w:val="Endnote Text"/>
    <w:basedOn w:val="Normal"/>
    <w:link w:val="af6"/>
    <w:uiPriority w:val="99"/>
    <w:semiHidden/>
    <w:unhideWhenUsed/>
    <w:pPr/>
    <w:rPr>
      <w:sz w:val="20"/>
      <w:szCs w:val="20"/>
    </w:rPr>
  </w:style>
  <w:style w:type="paragraph" w:styleId="PlainText">
    <w:name w:val="Plain Text"/>
    <w:basedOn w:val="Normal"/>
    <w:link w:val="afa"/>
    <w:uiPriority w:val="99"/>
    <w:semiHidden/>
    <w:unhideWhenUsed/>
    <w:qFormat/>
    <w:pPr/>
    <w:rPr>
      <w:rFonts w:ascii="Courier New" w:hAnsi="Courier New" w:cs="Courier New"/>
      <w:sz w:val="21"/>
      <w:szCs w:val="21"/>
    </w:rPr>
  </w:style>
  <w:style w:type="paragraph" w:styleId="Style29">
    <w:name w:val="Header"/>
    <w:basedOn w:val="Normal"/>
    <w:link w:val="afc"/>
    <w:uiPriority w:val="99"/>
    <w:unhideWhenUsed/>
    <w:pPr/>
    <w:rPr/>
  </w:style>
  <w:style w:type="paragraph" w:styleId="Style30">
    <w:name w:val="Footer"/>
    <w:basedOn w:val="Normal"/>
    <w:link w:val="afe"/>
    <w:uiPriority w:val="99"/>
    <w:unhideWhenUsed/>
    <w:pPr/>
    <w:rPr/>
  </w:style>
  <w:style w:type="paragraph" w:styleId="BalloonText">
    <w:name w:val="Balloon Text"/>
    <w:basedOn w:val="Normal"/>
    <w:link w:val="aff0"/>
    <w:uiPriority w:val="99"/>
    <w:semiHidden/>
    <w:unhideWhenUsed/>
    <w:qFormat/>
    <w:rsid w:val="008969a7"/>
    <w:pPr/>
    <w:rPr>
      <w:rFonts w:ascii="Times New Roman" w:hAnsi="Times New Roman" w:cs="Times New Roman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7717F4-91F8-6E4A-BC4C-C2F276CF8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Application>LibreOffice/6.1.6.3$Windows_X86_64 LibreOffice_project/5896ab1714085361c45cf540f76f60673dd96a72</Application>
  <Pages>3</Pages>
  <Words>1701</Words>
  <Characters>12220</Characters>
  <CharactersWithSpaces>13910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2019-07-29T15:19:00Z</dcterms:created>
  <dc:creator>Microsoft Office User</dc:creator>
  <dc:description/>
  <dc:language>ru-RU</dc:language>
  <cp:lastModifiedBy>Викторович Анатолий</cp:lastModifiedBy>
  <cp:lastPrinted>2019-09-16T13:29:00Z</cp:lastPrinted>
  <dcterms:modified xsi:type="dcterms:W3CDTF">2019-10-07T06:47:00Z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