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6C" w:rsidRPr="00280420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>Договор</w:t>
      </w:r>
      <w:r w:rsidR="0087016C" w:rsidRPr="00A93D4C">
        <w:rPr>
          <w:b/>
          <w:sz w:val="22"/>
          <w:szCs w:val="22"/>
        </w:rPr>
        <w:t xml:space="preserve"> №</w:t>
      </w:r>
      <w:r w:rsidRPr="00A93D4C">
        <w:rPr>
          <w:b/>
          <w:sz w:val="22"/>
          <w:szCs w:val="22"/>
        </w:rPr>
        <w:t xml:space="preserve"> </w:t>
      </w:r>
      <w:r w:rsidR="00F451BD" w:rsidRPr="00280420">
        <w:rPr>
          <w:b/>
          <w:sz w:val="22"/>
          <w:szCs w:val="22"/>
        </w:rPr>
        <w:t>${</w:t>
      </w:r>
      <w:r w:rsidR="00F451BD" w:rsidRPr="00F451BD">
        <w:rPr>
          <w:b/>
          <w:sz w:val="22"/>
          <w:szCs w:val="22"/>
          <w:lang w:val="en-US"/>
        </w:rPr>
        <w:t>num</w:t>
      </w:r>
      <w:r w:rsidR="00F451BD" w:rsidRPr="00280420">
        <w:rPr>
          <w:b/>
          <w:sz w:val="22"/>
          <w:szCs w:val="22"/>
        </w:rPr>
        <w:t>_</w:t>
      </w:r>
      <w:r w:rsidR="00F451BD" w:rsidRPr="00F451BD">
        <w:rPr>
          <w:b/>
          <w:sz w:val="22"/>
          <w:szCs w:val="22"/>
          <w:lang w:val="en-US"/>
        </w:rPr>
        <w:t>agreement</w:t>
      </w:r>
      <w:r w:rsidR="00F451BD" w:rsidRPr="00280420">
        <w:rPr>
          <w:b/>
          <w:sz w:val="22"/>
          <w:szCs w:val="22"/>
        </w:rPr>
        <w:t>}</w:t>
      </w:r>
    </w:p>
    <w:p w:rsidR="0077235C" w:rsidRPr="00A93D4C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 xml:space="preserve">о практической подготовке </w:t>
      </w:r>
      <w:proofErr w:type="gramStart"/>
      <w:r w:rsidRPr="00A93D4C">
        <w:rPr>
          <w:b/>
          <w:sz w:val="22"/>
          <w:szCs w:val="22"/>
        </w:rPr>
        <w:t>обучающихся</w:t>
      </w:r>
      <w:proofErr w:type="gramEnd"/>
      <w:r w:rsidRPr="00A93D4C">
        <w:rPr>
          <w:b/>
          <w:sz w:val="22"/>
          <w:szCs w:val="22"/>
        </w:rPr>
        <w:t xml:space="preserve">, </w:t>
      </w:r>
    </w:p>
    <w:p w:rsidR="00F936BB" w:rsidRPr="00CA11BA" w:rsidRDefault="00F936BB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  <w:proofErr w:type="gramStart"/>
      <w:r w:rsidRPr="00A93D4C">
        <w:rPr>
          <w:b/>
          <w:sz w:val="22"/>
          <w:szCs w:val="22"/>
        </w:rPr>
        <w:t>заключаемый</w:t>
      </w:r>
      <w:proofErr w:type="gramEnd"/>
      <w:r w:rsidRPr="00A93D4C">
        <w:rPr>
          <w:b/>
          <w:sz w:val="22"/>
          <w:szCs w:val="22"/>
        </w:rPr>
        <w:t xml:space="preserve"> между </w:t>
      </w:r>
      <w:r w:rsidR="001D5214" w:rsidRPr="001D5214">
        <w:rPr>
          <w:b/>
          <w:sz w:val="22"/>
          <w:szCs w:val="22"/>
        </w:rPr>
        <w:t>${</w:t>
      </w:r>
      <w:proofErr w:type="spellStart"/>
      <w:r w:rsidR="001D5214" w:rsidRPr="001D5214">
        <w:rPr>
          <w:b/>
          <w:sz w:val="22"/>
          <w:szCs w:val="22"/>
        </w:rPr>
        <w:t>org_name_short</w:t>
      </w:r>
      <w:proofErr w:type="spellEnd"/>
      <w:r w:rsidR="001D5214" w:rsidRPr="001D5214">
        <w:rPr>
          <w:b/>
          <w:sz w:val="22"/>
          <w:szCs w:val="22"/>
        </w:rPr>
        <w:t>}</w:t>
      </w:r>
      <w:r w:rsidRPr="00A93D4C">
        <w:rPr>
          <w:b/>
          <w:sz w:val="22"/>
          <w:szCs w:val="22"/>
        </w:rPr>
        <w:t xml:space="preserve"> и организацией, осуществляющей деятельность по профилю соответствующей</w:t>
      </w:r>
      <w:r w:rsidR="00267320">
        <w:rPr>
          <w:b/>
          <w:sz w:val="22"/>
          <w:szCs w:val="22"/>
        </w:rPr>
        <w:t xml:space="preserve"> </w:t>
      </w:r>
      <w:r w:rsidRPr="00A93D4C">
        <w:rPr>
          <w:b/>
          <w:sz w:val="22"/>
          <w:szCs w:val="22"/>
        </w:rPr>
        <w:t>образовательной программы</w:t>
      </w:r>
    </w:p>
    <w:p w:rsidR="0077235C" w:rsidRPr="00CA11BA" w:rsidRDefault="0077235C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</w:p>
    <w:p w:rsidR="008B062F" w:rsidRPr="00A93D4C" w:rsidRDefault="008B062F" w:rsidP="00A93D4C">
      <w:pPr>
        <w:tabs>
          <w:tab w:val="left" w:pos="6946"/>
          <w:tab w:val="left" w:pos="7088"/>
        </w:tabs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г. Магнитогорск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ab/>
        <w:t xml:space="preserve">от 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${</w:t>
      </w:r>
      <w:proofErr w:type="spellStart"/>
      <w:r w:rsidR="00280420" w:rsidRPr="0028042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date_agreement</w:t>
      </w:r>
      <w:proofErr w:type="spellEnd"/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г.</w:t>
      </w:r>
    </w:p>
    <w:p w:rsidR="008B062F" w:rsidRPr="00A93D4C" w:rsidRDefault="008B062F" w:rsidP="00863184">
      <w:pPr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:rsidR="00C94F4D" w:rsidRPr="00A93D4C" w:rsidRDefault="001D5214" w:rsidP="00863184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 w:firstLine="527"/>
        <w:jc w:val="both"/>
        <w:rPr>
          <w:sz w:val="20"/>
          <w:szCs w:val="20"/>
        </w:rPr>
      </w:pPr>
      <w:proofErr w:type="gramStart"/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org_name_full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 именуемый в дальнейшем «Университет», в лице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mng_job</w:t>
      </w:r>
      <w:proofErr w:type="spellEnd"/>
      <w:r w:rsidRPr="001D5214">
        <w:rPr>
          <w:sz w:val="20"/>
          <w:szCs w:val="20"/>
        </w:rPr>
        <w:t>} ${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full</w:t>
      </w:r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 действующего на основании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org_reason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 и</w:t>
      </w:r>
      <w:r w:rsidR="00C94F4D" w:rsidRPr="00A93D4C">
        <w:rPr>
          <w:sz w:val="20"/>
          <w:szCs w:val="20"/>
        </w:rPr>
        <w:t xml:space="preserve"> </w:t>
      </w:r>
      <w:proofErr w:type="gramEnd"/>
    </w:p>
    <w:p w:rsidR="0077235C" w:rsidRPr="00A93D4C" w:rsidRDefault="00F451BD" w:rsidP="00F451BD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/>
        <w:jc w:val="both"/>
        <w:rPr>
          <w:sz w:val="20"/>
          <w:szCs w:val="20"/>
        </w:rPr>
      </w:pP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_name_full</w:t>
      </w:r>
      <w:proofErr w:type="spellEnd"/>
      <w:r w:rsidRPr="00F451BD">
        <w:rPr>
          <w:sz w:val="20"/>
          <w:szCs w:val="20"/>
        </w:rPr>
        <w:t>} 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</w:t>
      </w:r>
      <w:proofErr w:type="spellEnd"/>
      <w:r w:rsidRPr="00F451BD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именуемое в дальнейшем «Профильная организация», в лице </w:t>
      </w:r>
      <w:r w:rsidR="00613081">
        <w:rPr>
          <w:sz w:val="20"/>
          <w:szCs w:val="20"/>
        </w:rPr>
        <w:t>${</w:t>
      </w:r>
      <w:proofErr w:type="spellStart"/>
      <w:r w:rsidR="00613081">
        <w:rPr>
          <w:sz w:val="20"/>
          <w:szCs w:val="20"/>
        </w:rPr>
        <w:t>com_mng</w:t>
      </w:r>
      <w:r w:rsidR="00613081" w:rsidRPr="00613081">
        <w:rPr>
          <w:sz w:val="20"/>
          <w:szCs w:val="20"/>
        </w:rPr>
        <w:t>_</w:t>
      </w:r>
      <w:r w:rsidR="00FB5A85" w:rsidRPr="00FB5A85">
        <w:rPr>
          <w:sz w:val="20"/>
          <w:szCs w:val="20"/>
        </w:rPr>
        <w:t>job</w:t>
      </w:r>
      <w:proofErr w:type="spellEnd"/>
      <w:r w:rsidR="00FB5A85" w:rsidRPr="00FB5A85">
        <w:rPr>
          <w:sz w:val="20"/>
          <w:szCs w:val="20"/>
        </w:rPr>
        <w:t>}</w:t>
      </w:r>
      <w:r w:rsidR="00774BBF" w:rsidRPr="00774BBF">
        <w:rPr>
          <w:sz w:val="20"/>
          <w:szCs w:val="20"/>
        </w:rPr>
        <w:t xml:space="preserve"> </w:t>
      </w:r>
      <w:r w:rsidR="00FB5A85" w:rsidRPr="00FB5A85">
        <w:rPr>
          <w:sz w:val="20"/>
          <w:szCs w:val="20"/>
        </w:rPr>
        <w:t xml:space="preserve"> </w:t>
      </w: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r w:rsidRPr="00F451BD">
        <w:rPr>
          <w:sz w:val="20"/>
          <w:szCs w:val="20"/>
        </w:rPr>
        <w:t>}</w:t>
      </w:r>
      <w:r w:rsidR="00C94F4D" w:rsidRPr="00A93D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062F" w:rsidRPr="00A93D4C">
        <w:rPr>
          <w:sz w:val="20"/>
          <w:szCs w:val="20"/>
        </w:rPr>
        <w:t xml:space="preserve">действующего на основании </w:t>
      </w:r>
      <w:r w:rsidR="00FB5A85" w:rsidRPr="00FB5A85">
        <w:rPr>
          <w:sz w:val="20"/>
          <w:szCs w:val="20"/>
        </w:rPr>
        <w:t>${</w:t>
      </w:r>
      <w:r w:rsidR="00FB5A85">
        <w:rPr>
          <w:sz w:val="20"/>
          <w:szCs w:val="20"/>
          <w:lang w:val="en-US"/>
        </w:rPr>
        <w:t>com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mng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reason</w:t>
      </w:r>
      <w:r w:rsidR="00FB5A85" w:rsidRPr="00FB5A85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</w:t>
      </w:r>
      <w:r w:rsidR="00F936BB" w:rsidRPr="00A93D4C">
        <w:rPr>
          <w:sz w:val="20"/>
          <w:szCs w:val="20"/>
        </w:rPr>
        <w:t xml:space="preserve"> с другой стороны,</w:t>
      </w:r>
      <w:r w:rsidR="0077235C" w:rsidRPr="00A93D4C">
        <w:rPr>
          <w:sz w:val="20"/>
          <w:szCs w:val="20"/>
        </w:rPr>
        <w:t xml:space="preserve"> </w:t>
      </w:r>
      <w:r w:rsidR="00F936BB" w:rsidRPr="00A93D4C">
        <w:rPr>
          <w:sz w:val="20"/>
          <w:szCs w:val="20"/>
        </w:rPr>
        <w:t>именуемые по отдельности «Сторона», а вместе - «Стороны», заключили настоящий Договор о нижеследующем.</w:t>
      </w:r>
      <w:bookmarkStart w:id="0" w:name="bookmark2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1. Предмет Договора</w:t>
      </w:r>
      <w:bookmarkEnd w:id="0"/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456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Предметом настоящего Договора является организация практической подготовки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(далее - практическая подготовка).</w:t>
      </w:r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322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Образовательная программа (программы), компоненты образовательной программы</w:t>
      </w:r>
      <w:r w:rsidR="004C67D2" w:rsidRPr="00A93D4C">
        <w:rPr>
          <w:sz w:val="20"/>
          <w:szCs w:val="20"/>
        </w:rPr>
        <w:t xml:space="preserve"> (дисциплины (модули), практики, иные компоненты образовательных программ, предусмотренны</w:t>
      </w:r>
      <w:r w:rsidR="004046E8" w:rsidRPr="00A93D4C">
        <w:rPr>
          <w:sz w:val="20"/>
          <w:szCs w:val="20"/>
        </w:rPr>
        <w:t>е</w:t>
      </w:r>
      <w:r w:rsidR="004C67D2" w:rsidRPr="00A93D4C">
        <w:rPr>
          <w:sz w:val="20"/>
          <w:szCs w:val="20"/>
        </w:rPr>
        <w:t xml:space="preserve"> учебным планом)</w:t>
      </w:r>
      <w:r w:rsidRPr="00A93D4C">
        <w:rPr>
          <w:sz w:val="20"/>
          <w:szCs w:val="20"/>
        </w:rPr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согласуются Сторонами и являются неотъемлемой частью настоящего Договора (приложение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№ 1).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</w:t>
      </w:r>
      <w:r w:rsidR="004C67D2" w:rsidRPr="00A93D4C">
        <w:rPr>
          <w:sz w:val="20"/>
          <w:szCs w:val="20"/>
        </w:rPr>
        <w:t xml:space="preserve"> (</w:t>
      </w:r>
      <w:r w:rsidR="004046E8" w:rsidRPr="00A93D4C">
        <w:rPr>
          <w:sz w:val="20"/>
          <w:szCs w:val="20"/>
        </w:rPr>
        <w:t>управление, отдел,</w:t>
      </w:r>
      <w:r w:rsidR="004C67D2" w:rsidRPr="00A93D4C">
        <w:rPr>
          <w:sz w:val="20"/>
          <w:szCs w:val="20"/>
        </w:rPr>
        <w:t xml:space="preserve"> цех, лаборатория и т.д.)</w:t>
      </w:r>
      <w:r w:rsidRPr="00A93D4C">
        <w:rPr>
          <w:sz w:val="20"/>
          <w:szCs w:val="20"/>
        </w:rPr>
        <w:t>, перечень которых согласуется Сторонами и является неотъемлемой частью настоящего Договора (приложение № 2).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1" w:name="bookmark3"/>
      <w:r w:rsidRPr="00A93D4C">
        <w:rPr>
          <w:b/>
          <w:sz w:val="20"/>
          <w:szCs w:val="20"/>
        </w:rPr>
        <w:t>2. Права и обязанности Сторон</w:t>
      </w:r>
      <w:bookmarkEnd w:id="1"/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2.1. </w:t>
      </w:r>
      <w:r w:rsidR="008B062F" w:rsidRPr="00A93D4C">
        <w:rPr>
          <w:sz w:val="20"/>
          <w:szCs w:val="20"/>
        </w:rPr>
        <w:t>Университет</w:t>
      </w:r>
      <w:r w:rsidRPr="00A93D4C">
        <w:rPr>
          <w:sz w:val="20"/>
          <w:szCs w:val="20"/>
        </w:rPr>
        <w:t xml:space="preserve"> обязан: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</w:t>
      </w:r>
      <w:r w:rsidR="00E44DE0" w:rsidRPr="00A93D4C">
        <w:rPr>
          <w:sz w:val="20"/>
          <w:szCs w:val="20"/>
        </w:rPr>
        <w:t xml:space="preserve">сроки организации практической подготовки и </w:t>
      </w:r>
      <w:r w:rsidRPr="00A93D4C">
        <w:rPr>
          <w:sz w:val="20"/>
          <w:szCs w:val="20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руководителя</w:t>
      </w:r>
      <w:r w:rsidR="008B062F" w:rsidRPr="00A93D4C">
        <w:rPr>
          <w:sz w:val="20"/>
          <w:szCs w:val="20"/>
        </w:rPr>
        <w:t xml:space="preserve"> по практической подготовке от Университета</w:t>
      </w:r>
      <w:r w:rsidRPr="00A93D4C">
        <w:rPr>
          <w:sz w:val="20"/>
          <w:szCs w:val="20"/>
        </w:rPr>
        <w:t>, который: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8B062F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0"/>
          <w:tab w:val="left" w:leader="underscore" w:pos="9225"/>
          <w:tab w:val="left" w:leader="underscore" w:pos="9959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руководителя по практической подготовке в</w:t>
      </w:r>
      <w:r w:rsidR="008B062F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>-ти</w:t>
      </w:r>
      <w:r w:rsidR="008B062F" w:rsidRPr="00A93D4C">
        <w:rPr>
          <w:sz w:val="20"/>
          <w:szCs w:val="20"/>
        </w:rPr>
        <w:t xml:space="preserve"> </w:t>
      </w:r>
      <w:proofErr w:type="spellStart"/>
      <w:r w:rsidR="002F3249"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 сообщить об этом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936BB" w:rsidRPr="00A93D4C" w:rsidRDefault="008B062F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25"/>
          <w:tab w:val="left" w:leader="underscore" w:pos="3537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________________________________________</w:t>
      </w:r>
      <w:r w:rsidR="00F936BB" w:rsidRPr="00A93D4C">
        <w:rPr>
          <w:sz w:val="20"/>
          <w:szCs w:val="20"/>
        </w:rPr>
        <w:t xml:space="preserve">(иные обязанности </w:t>
      </w:r>
      <w:r w:rsidR="0077235C"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2.2. Профильная организация обязана: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0"/>
          <w:tab w:val="left" w:leader="underscore" w:pos="7564"/>
          <w:tab w:val="left" w:leader="underscore" w:pos="8202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лица, указанного в пункте 2.2.2, в</w:t>
      </w:r>
      <w:r w:rsidR="00EC1B28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 xml:space="preserve">-ти </w:t>
      </w:r>
      <w:proofErr w:type="spellStart"/>
      <w:r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</w:t>
      </w:r>
      <w:r w:rsidR="00EC1B28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 xml:space="preserve">сообщить об этом </w:t>
      </w:r>
      <w:r w:rsidR="00EC1B28" w:rsidRPr="00A93D4C">
        <w:rPr>
          <w:sz w:val="20"/>
          <w:szCs w:val="20"/>
        </w:rPr>
        <w:t>в Университет</w:t>
      </w:r>
      <w:r w:rsidRPr="00A93D4C">
        <w:rPr>
          <w:sz w:val="20"/>
          <w:szCs w:val="20"/>
        </w:rPr>
        <w:t>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lastRenderedPageBreak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C1B28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об условиях труда и требованиях охраны труда на рабочем месте;</w:t>
      </w:r>
    </w:p>
    <w:p w:rsidR="002F3249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ознакомить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с правилами внутреннего трудового распорядка Профильной организации,</w:t>
      </w:r>
      <w:r w:rsidR="002F3249" w:rsidRPr="00A93D4C">
        <w:rPr>
          <w:sz w:val="20"/>
          <w:szCs w:val="20"/>
        </w:rPr>
        <w:t xml:space="preserve"> _________________________________</w:t>
      </w:r>
      <w:r w:rsidR="00CA11BA" w:rsidRPr="00A93D4C">
        <w:rPr>
          <w:sz w:val="20"/>
          <w:szCs w:val="20"/>
        </w:rPr>
        <w:t>_____________________</w:t>
      </w:r>
      <w:r w:rsidR="00267320">
        <w:rPr>
          <w:sz w:val="20"/>
          <w:szCs w:val="20"/>
        </w:rPr>
        <w:t>____________________________</w:t>
      </w:r>
      <w:r w:rsidR="00CA11BA"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</w:t>
      </w:r>
    </w:p>
    <w:p w:rsidR="002F3249" w:rsidRPr="00A93D4C" w:rsidRDefault="00EC1B28" w:rsidP="00863184">
      <w:pPr>
        <w:pStyle w:val="31"/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</w:t>
      </w:r>
      <w:r w:rsidR="002F3249" w:rsidRPr="00A93D4C">
        <w:rPr>
          <w:sz w:val="20"/>
          <w:szCs w:val="20"/>
        </w:rPr>
        <w:t>_____________________</w:t>
      </w:r>
      <w:r w:rsidR="00CA11BA" w:rsidRPr="00A93D4C">
        <w:rPr>
          <w:sz w:val="20"/>
          <w:szCs w:val="20"/>
        </w:rPr>
        <w:t>_____________</w:t>
      </w:r>
      <w:r w:rsidR="00267320">
        <w:rPr>
          <w:sz w:val="20"/>
          <w:szCs w:val="20"/>
        </w:rPr>
        <w:t>________________</w:t>
      </w:r>
      <w:r w:rsidR="00CA11BA"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</w:t>
      </w:r>
      <w:r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____</w:t>
      </w:r>
    </w:p>
    <w:p w:rsidR="00F936BB" w:rsidRPr="00A93D4C" w:rsidRDefault="002F3249" w:rsidP="00863184">
      <w:pPr>
        <w:pStyle w:val="42"/>
        <w:shd w:val="clear" w:color="auto" w:fill="auto"/>
        <w:tabs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</w:tabs>
        <w:spacing w:line="240" w:lineRule="auto"/>
        <w:jc w:val="center"/>
      </w:pPr>
      <w:r w:rsidRPr="00A93D4C">
        <w:rPr>
          <w:vertAlign w:val="superscript"/>
        </w:rPr>
        <w:t>(указываются иные локальные нормативные</w:t>
      </w:r>
      <w:r w:rsidRPr="00A93D4C">
        <w:t xml:space="preserve"> </w:t>
      </w:r>
      <w:r w:rsidRPr="00A93D4C">
        <w:rPr>
          <w:vertAlign w:val="superscript"/>
        </w:rPr>
        <w:t>акты Профильной организации)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провести инструктаж обучающихся по охране труда и технике безопасности и осуществлять надзор за соблюдением </w:t>
      </w:r>
      <w:proofErr w:type="gramStart"/>
      <w:r w:rsidRPr="00A93D4C">
        <w:rPr>
          <w:sz w:val="20"/>
          <w:szCs w:val="20"/>
        </w:rPr>
        <w:t>обучающимися</w:t>
      </w:r>
      <w:proofErr w:type="gramEnd"/>
      <w:r w:rsidRPr="00A93D4C">
        <w:rPr>
          <w:sz w:val="20"/>
          <w:szCs w:val="20"/>
        </w:rPr>
        <w:t xml:space="preserve"> правил техники безопасности;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предоставить обучающимся и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;</w:t>
      </w:r>
    </w:p>
    <w:p w:rsidR="00F936BB" w:rsidRPr="00A93D4C" w:rsidRDefault="00CA11BA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</w:t>
      </w:r>
      <w:r w:rsidR="0077235C"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обязанности Профильной организации).</w:t>
      </w:r>
    </w:p>
    <w:p w:rsidR="00F936BB" w:rsidRPr="00A93D4C" w:rsidRDefault="0077235C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50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Университет</w:t>
      </w:r>
      <w:r w:rsidR="00F936BB" w:rsidRPr="00A93D4C">
        <w:rPr>
          <w:sz w:val="20"/>
          <w:szCs w:val="20"/>
        </w:rPr>
        <w:t xml:space="preserve"> имеет право: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1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936BB" w:rsidRPr="00A93D4C" w:rsidRDefault="0077235C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_________________________</w:t>
      </w:r>
      <w:r w:rsidRPr="00A93D4C">
        <w:rPr>
          <w:sz w:val="20"/>
          <w:szCs w:val="20"/>
        </w:rPr>
        <w:t>____________</w:t>
      </w:r>
      <w:r w:rsidR="00F936BB" w:rsidRPr="00A93D4C">
        <w:rPr>
          <w:sz w:val="20"/>
          <w:szCs w:val="20"/>
        </w:rPr>
        <w:t xml:space="preserve">(иные права </w:t>
      </w:r>
      <w:r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45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Профильная организация имеет право: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конфиденциальной информации;</w:t>
      </w:r>
    </w:p>
    <w:p w:rsidR="00F936BB" w:rsidRPr="00A93D4C" w:rsidRDefault="00F936BB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936BB" w:rsidRPr="00A93D4C" w:rsidRDefault="0077235C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20"/>
          <w:tab w:val="left" w:leader="underscore" w:pos="3532"/>
        </w:tabs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</w:t>
      </w:r>
      <w:r w:rsidR="00CA11BA" w:rsidRPr="00A93D4C">
        <w:rPr>
          <w:sz w:val="20"/>
          <w:szCs w:val="20"/>
        </w:rPr>
        <w:t>_________________</w:t>
      </w:r>
      <w:r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права Профильной организации).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2" w:name="bookmark4"/>
      <w:r w:rsidRPr="00A93D4C">
        <w:rPr>
          <w:b/>
          <w:sz w:val="20"/>
          <w:szCs w:val="20"/>
        </w:rPr>
        <w:t>3. Срок действия договора</w:t>
      </w:r>
      <w:bookmarkEnd w:id="2"/>
    </w:p>
    <w:p w:rsidR="002F3249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3.1. Настоящий Договор вступает в силу </w:t>
      </w:r>
      <w:r w:rsidR="00F451BD">
        <w:rPr>
          <w:sz w:val="20"/>
          <w:szCs w:val="20"/>
        </w:rPr>
        <w:t>с</w:t>
      </w:r>
      <w:r w:rsidR="00F451BD" w:rsidRPr="00F451BD">
        <w:rPr>
          <w:sz w:val="20"/>
          <w:szCs w:val="20"/>
        </w:rPr>
        <w:t xml:space="preserve"> ${</w:t>
      </w:r>
      <w:proofErr w:type="spellStart"/>
      <w:r w:rsidR="00F451BD">
        <w:rPr>
          <w:sz w:val="20"/>
          <w:szCs w:val="20"/>
          <w:lang w:val="en-US"/>
        </w:rPr>
        <w:t>agr</w:t>
      </w:r>
      <w:proofErr w:type="spellEnd"/>
      <w:r w:rsidR="00F451BD" w:rsidRPr="00F451BD">
        <w:rPr>
          <w:sz w:val="20"/>
          <w:szCs w:val="20"/>
        </w:rPr>
        <w:t>_</w:t>
      </w:r>
      <w:r w:rsidR="00F451BD" w:rsidRPr="00F451BD">
        <w:rPr>
          <w:sz w:val="20"/>
          <w:szCs w:val="20"/>
          <w:lang w:val="en-US"/>
        </w:rPr>
        <w:t>date</w:t>
      </w:r>
      <w:r w:rsidR="00F451BD" w:rsidRPr="00F451BD">
        <w:rPr>
          <w:sz w:val="20"/>
          <w:szCs w:val="20"/>
        </w:rPr>
        <w:t>_</w:t>
      </w:r>
      <w:proofErr w:type="spellStart"/>
      <w:r w:rsidR="00F451BD" w:rsidRPr="00F451BD">
        <w:rPr>
          <w:sz w:val="20"/>
          <w:szCs w:val="20"/>
          <w:lang w:val="en-US"/>
        </w:rPr>
        <w:t>bg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 xml:space="preserve"> и действует до </w:t>
      </w:r>
      <w:r w:rsidR="00F451BD" w:rsidRPr="00F451BD">
        <w:rPr>
          <w:sz w:val="20"/>
          <w:szCs w:val="20"/>
        </w:rPr>
        <w:t>${</w:t>
      </w:r>
      <w:proofErr w:type="spellStart"/>
      <w:r w:rsidR="00F451BD">
        <w:rPr>
          <w:sz w:val="20"/>
          <w:szCs w:val="20"/>
          <w:lang w:val="en-US"/>
        </w:rPr>
        <w:t>agr</w:t>
      </w:r>
      <w:r w:rsidR="00F451BD" w:rsidRPr="00F451BD">
        <w:rPr>
          <w:sz w:val="20"/>
          <w:szCs w:val="20"/>
        </w:rPr>
        <w:t>_date_end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>.</w:t>
      </w:r>
      <w:bookmarkStart w:id="3" w:name="bookmark5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4. Заключительные положения</w:t>
      </w:r>
      <w:bookmarkEnd w:id="3"/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90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F3249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  <w:bookmarkStart w:id="4" w:name="bookmark6"/>
    </w:p>
    <w:p w:rsidR="00F936BB" w:rsidRPr="00A93D4C" w:rsidRDefault="00F936BB" w:rsidP="00863184">
      <w:pPr>
        <w:pStyle w:val="31"/>
        <w:shd w:val="clear" w:color="auto" w:fill="auto"/>
        <w:tabs>
          <w:tab w:val="left" w:pos="1071"/>
        </w:tabs>
        <w:spacing w:before="120" w:after="120" w:line="240" w:lineRule="auto"/>
        <w:jc w:val="center"/>
        <w:rPr>
          <w:b/>
          <w:sz w:val="20"/>
          <w:szCs w:val="20"/>
        </w:rPr>
      </w:pPr>
      <w:r w:rsidRPr="00A93D4C">
        <w:rPr>
          <w:b/>
          <w:sz w:val="20"/>
          <w:szCs w:val="20"/>
        </w:rPr>
        <w:t>5. Адреса, реквизиты и подписи Сторон</w:t>
      </w:r>
      <w:bookmarkEnd w:id="4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C94F4D" w:rsidRPr="00A93D4C" w:rsidTr="00C94F4D">
        <w:tc>
          <w:tcPr>
            <w:tcW w:w="4928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</w:t>
            </w:r>
          </w:p>
        </w:tc>
        <w:tc>
          <w:tcPr>
            <w:tcW w:w="5069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</w:t>
            </w:r>
          </w:p>
        </w:tc>
      </w:tr>
      <w:tr w:rsidR="00CA11BA" w:rsidRPr="00435776" w:rsidTr="00C94F4D">
        <w:tc>
          <w:tcPr>
            <w:tcW w:w="4928" w:type="dxa"/>
            <w:vAlign w:val="center"/>
          </w:tcPr>
          <w:p w:rsidR="00CA11BA" w:rsidRPr="001D5214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org_name_short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CA11BA" w:rsidRPr="00A538AF" w:rsidRDefault="00A538AF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com_name_full</w:t>
            </w:r>
            <w:proofErr w:type="spellEnd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435776" w:rsidTr="00C94F4D">
        <w:tc>
          <w:tcPr>
            <w:tcW w:w="4928" w:type="dxa"/>
          </w:tcPr>
          <w:p w:rsidR="00CA11BA" w:rsidRPr="006544AD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org_agress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org_inn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org_kpp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</w:tcPr>
          <w:p w:rsidR="00CA11BA" w:rsidRDefault="00CA11BA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28042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="00A538AF"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legal_adress</w:t>
            </w:r>
            <w:proofErr w:type="spellEnd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Pr="00435776" w:rsidRDefault="00A538AF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435776" w:rsidRPr="00435776" w:rsidRDefault="00435776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com_ogrnip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435776" w:rsidTr="00C94F4D">
        <w:trPr>
          <w:trHeight w:val="982"/>
        </w:trPr>
        <w:tc>
          <w:tcPr>
            <w:tcW w:w="4928" w:type="dxa"/>
            <w:vAlign w:val="center"/>
          </w:tcPr>
          <w:p w:rsidR="00A538AF" w:rsidRPr="001D5214" w:rsidRDefault="001D5214" w:rsidP="0086318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mng_job</w:t>
            </w:r>
            <w:proofErr w:type="spellEnd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CA11BA" w:rsidRPr="001D5214" w:rsidRDefault="00CA11BA" w:rsidP="001D5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 xml:space="preserve">  _____________________ </w:t>
            </w:r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mng_fio_short</w:t>
            </w:r>
            <w:proofErr w:type="spellEnd"/>
            <w:r w:rsidR="001D5214"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A538AF" w:rsidRPr="00FB5A85" w:rsidRDefault="00FB5A85" w:rsidP="0086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613081" w:rsidRPr="00613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A11BA" w:rsidRPr="00280420" w:rsidRDefault="00CA11BA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com_mng_fio_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proofErr w:type="spellEnd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CA11BA" w:rsidTr="00C94F4D">
        <w:trPr>
          <w:trHeight w:val="426"/>
        </w:trPr>
        <w:tc>
          <w:tcPr>
            <w:tcW w:w="4928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</w:tr>
    </w:tbl>
    <w:p w:rsidR="006B5147" w:rsidRDefault="006B5147" w:rsidP="00863184">
      <w:pPr>
        <w:rPr>
          <w:rFonts w:ascii="Times New Roman" w:hAnsi="Times New Roman" w:cs="Times New Roman"/>
        </w:rPr>
      </w:pPr>
    </w:p>
    <w:p w:rsidR="006B5147" w:rsidRDefault="006B5147" w:rsidP="00863184">
      <w:pPr>
        <w:spacing w:after="200"/>
        <w:rPr>
          <w:rFonts w:ascii="Times New Roman" w:hAnsi="Times New Roman" w:cs="Times New Roman"/>
        </w:rPr>
      </w:pPr>
    </w:p>
    <w:sectPr w:rsidR="006B5147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15" w:rsidRDefault="002A5315" w:rsidP="0077235C">
      <w:r>
        <w:separator/>
      </w:r>
    </w:p>
  </w:endnote>
  <w:endnote w:type="continuationSeparator" w:id="0">
    <w:p w:rsidR="002A5315" w:rsidRDefault="002A5315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15" w:rsidRDefault="002A5315" w:rsidP="0077235C">
      <w:r>
        <w:separator/>
      </w:r>
    </w:p>
  </w:footnote>
  <w:footnote w:type="continuationSeparator" w:id="0">
    <w:p w:rsidR="002A5315" w:rsidRDefault="002A5315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B6" w:rsidRDefault="00BD0AF2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9B07B6" w:rsidRDefault="002A5315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58B22D9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C5062D68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BC769FE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844AA52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C5061156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F71A3B16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7804C50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200EF"/>
    <w:rsid w:val="00060FB4"/>
    <w:rsid w:val="0008367C"/>
    <w:rsid w:val="001717B8"/>
    <w:rsid w:val="00171EEA"/>
    <w:rsid w:val="001B4B56"/>
    <w:rsid w:val="001D38CC"/>
    <w:rsid w:val="001D5214"/>
    <w:rsid w:val="00267320"/>
    <w:rsid w:val="00280420"/>
    <w:rsid w:val="00286136"/>
    <w:rsid w:val="00297CBA"/>
    <w:rsid w:val="002A5315"/>
    <w:rsid w:val="002D5DEC"/>
    <w:rsid w:val="002F3249"/>
    <w:rsid w:val="00303DAB"/>
    <w:rsid w:val="00337BF9"/>
    <w:rsid w:val="003430C4"/>
    <w:rsid w:val="0039562D"/>
    <w:rsid w:val="003E514B"/>
    <w:rsid w:val="004046E8"/>
    <w:rsid w:val="00435776"/>
    <w:rsid w:val="004451BD"/>
    <w:rsid w:val="004C67D2"/>
    <w:rsid w:val="004E1797"/>
    <w:rsid w:val="00563338"/>
    <w:rsid w:val="00593B04"/>
    <w:rsid w:val="005B3D62"/>
    <w:rsid w:val="005B628B"/>
    <w:rsid w:val="005C6DF1"/>
    <w:rsid w:val="005E50E3"/>
    <w:rsid w:val="00611D21"/>
    <w:rsid w:val="00613081"/>
    <w:rsid w:val="006544AD"/>
    <w:rsid w:val="006722EB"/>
    <w:rsid w:val="006B5147"/>
    <w:rsid w:val="006B6FC8"/>
    <w:rsid w:val="006F5187"/>
    <w:rsid w:val="007053B3"/>
    <w:rsid w:val="00727CB0"/>
    <w:rsid w:val="007423A8"/>
    <w:rsid w:val="0077235C"/>
    <w:rsid w:val="00774BBF"/>
    <w:rsid w:val="00780C80"/>
    <w:rsid w:val="008118D7"/>
    <w:rsid w:val="00854941"/>
    <w:rsid w:val="00863184"/>
    <w:rsid w:val="0087016C"/>
    <w:rsid w:val="0089579B"/>
    <w:rsid w:val="008B062F"/>
    <w:rsid w:val="008C0DFD"/>
    <w:rsid w:val="008C430A"/>
    <w:rsid w:val="008F04A5"/>
    <w:rsid w:val="0097491B"/>
    <w:rsid w:val="009805BF"/>
    <w:rsid w:val="00A46AD0"/>
    <w:rsid w:val="00A534F2"/>
    <w:rsid w:val="00A538AF"/>
    <w:rsid w:val="00A93D4C"/>
    <w:rsid w:val="00AA3F6A"/>
    <w:rsid w:val="00AF5565"/>
    <w:rsid w:val="00B66928"/>
    <w:rsid w:val="00BD0AF2"/>
    <w:rsid w:val="00C04368"/>
    <w:rsid w:val="00C90892"/>
    <w:rsid w:val="00C90DD0"/>
    <w:rsid w:val="00C91E41"/>
    <w:rsid w:val="00C94F4D"/>
    <w:rsid w:val="00C95C2A"/>
    <w:rsid w:val="00CA11BA"/>
    <w:rsid w:val="00CB0F9F"/>
    <w:rsid w:val="00D23482"/>
    <w:rsid w:val="00D41087"/>
    <w:rsid w:val="00D66E5A"/>
    <w:rsid w:val="00D73CCC"/>
    <w:rsid w:val="00D87183"/>
    <w:rsid w:val="00DE505F"/>
    <w:rsid w:val="00E44DE0"/>
    <w:rsid w:val="00EC1B28"/>
    <w:rsid w:val="00F13E8B"/>
    <w:rsid w:val="00F451BD"/>
    <w:rsid w:val="00F50066"/>
    <w:rsid w:val="00F936BB"/>
    <w:rsid w:val="00FA7FCA"/>
    <w:rsid w:val="00FB47F2"/>
    <w:rsid w:val="00FB5A85"/>
    <w:rsid w:val="00FB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uiPriority w:val="1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13</cp:revision>
  <cp:lastPrinted>2020-11-11T04:43:00Z</cp:lastPrinted>
  <dcterms:created xsi:type="dcterms:W3CDTF">2022-10-19T11:51:00Z</dcterms:created>
  <dcterms:modified xsi:type="dcterms:W3CDTF">2023-03-29T06:44:00Z</dcterms:modified>
</cp:coreProperties>
</file>