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Notă a funcției actuariale</w:t>
      </w:r>
    </w:p>
    <w:p>
      <w:r>
        <w:t>Către: Consiliul de Administrație, Asigurări Carpați S.A.</w:t>
      </w:r>
    </w:p>
    <w:p>
      <w:r>
        <w:t>Data: 2 februarie 2026</w:t>
      </w:r>
    </w:p>
    <w:p>
      <w:r>
        <w:t>Subiect: evoluția cerinței de capital de solvabilitate în 2025</w:t>
      </w:r>
    </w:p>
    <w:p>
      <w:r>
        <w:t>Cerința de capital de solvabilitate a scăzut la 31 decembrie 2025 față de anul anterior, în principal ca urmare a scăderii riscului de piață. În trimestrul al treilea, Societatea a vândut integral portofoliul de acțiuni listate, iar sumele au fost plasate în titluri de stat.</w:t>
      </w:r>
    </w:p>
    <w:p>
      <w:r>
        <w:t>Riscul de subscriere a crescut, în linie cu creșterea primelor subscrise, mai ales la asigurarea de incendiu.</w:t>
      </w:r>
    </w:p>
    <w:p>
      <w:r>
        <w:t>Programul de reasigurare a fost reînnoit la 1 ianuarie 2025 în aceleași condiții ca în anul precedent. Nu au existat modificări ale structurii programului care să influențeze cerința de capital.</w:t>
      </w:r>
    </w:p>
    <w:p>
      <w:r>
        <w:t>Calculul cerinței de capital minim este în curs de finalizare și va fi transmis separat.</w:t>
      </w:r>
    </w:p>
    <w:p>
      <w:r>
        <w:t>Calculele folosesc formula standard. Societatea nu utilizează parametri specifici proprii.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