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connection timeout error message is an indication that the server is not responding. And after using a packet sniffer to investigate the problem, a large number of TCP SYN requests came from an unfamiliar IP address.</w:t>
              <w:br w:type="textWrapping"/>
              <w:t xml:space="preserve">This event could be a DoS attack, specifically a SYN flood attack and a high probability combination of IP spoofing.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attack is flooding the server with SYN requests and if the SYN requests overwhelms the server, it will shut down.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br w:type="textWrapping"/>
              <w:t xml:space="preserve">A TCP 3-way handshake: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A device will send a SYN request to the server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server will respond with a SYN/ACK packet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To complete the handshake, the device will send the ACK packet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SYN flood attack works like imitating a TCP handshake by sending SYN requests to the server  but in large volume in a short amount of time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indicate that the server is being overwhelmed by receiving SYN requests in  a shorter amount of time than normal TCP 3-way handshake.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