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Some documents appear to contain personal information that Jorge wouldn’t want to be made public. The work files include the PII of other people. Also, the work files contain information about the hospital’s operations.</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timesheets can provide an attacker intel about other people that Jorge works with. Either work or personal information could be used to trick Jorge. For example, a malicious email can be designed to look as though it comes from a coworker or relative.</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Promoting employee awareness about these types of attacks and what to do when a suspicious USB drive is a managerial control that can reduce the risk of a negative incident. Setting up routine antivirus scans is an operational control that can be implemented. Another line of defense could be a technical control, like disabling AutoPlay on company PCs that will prevent a computer from automatically executing malicious code when a USB drive is plugged in.</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