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C045" w14:textId="77777777" w:rsidR="00737C20" w:rsidRDefault="00000000">
      <w:pPr>
        <w:pStyle w:val="Title"/>
        <w:jc w:val="center"/>
      </w:pPr>
      <w:r>
        <w:t>HAVEN-RVS: Developer Architecture &amp; Machine Learning Report</w:t>
      </w:r>
    </w:p>
    <w:p w14:paraId="6DB51FA9" w14:textId="77777777" w:rsidR="00737C20" w:rsidRDefault="00737C20"/>
    <w:p w14:paraId="588C7554" w14:textId="77777777" w:rsidR="00737C20" w:rsidRDefault="00000000">
      <w:pPr>
        <w:pStyle w:val="Heading1"/>
      </w:pPr>
      <w:r>
        <w:t>1. System Overview</w:t>
      </w:r>
    </w:p>
    <w:p w14:paraId="1F7DF6C0" w14:textId="77777777" w:rsidR="00737C20" w:rsidRDefault="00000000">
      <w:r>
        <w:t>The Heritage And Ancestral Houses Visual Evaluation Network - Rapid Visual Screening (HAVEN-RVS) is a comprehensive web-based platform designed to assess and categorize the structural risk of historical buildings in the Philippines. The architecture is divided into three primary components: a Next.js (React) Frontend for user interaction, a Supabase Backend for authentication and persistent data storage, and a specialized Python FastAPI Machine Learning microservice for statistical risk inference.</w:t>
      </w:r>
    </w:p>
    <w:p w14:paraId="3E6FF86B" w14:textId="77777777" w:rsidR="00737C20" w:rsidRDefault="00737C20"/>
    <w:p w14:paraId="689A0473" w14:textId="77777777" w:rsidR="00737C20" w:rsidRDefault="00000000">
      <w:pPr>
        <w:pStyle w:val="Heading1"/>
      </w:pPr>
      <w:r>
        <w:t>2. Frontend Architecture (Next.js &amp; React)</w:t>
      </w:r>
    </w:p>
    <w:p w14:paraId="77A998F9" w14:textId="77777777" w:rsidR="00737C20" w:rsidRDefault="00000000">
      <w:r>
        <w:t>The frontend is built using Next.js 15 (App Router) to ensure rapid static rendering and optimized client-side interactivity. The UI relies on Tailwind CSS for highly customizable, responsive styling that adheres to a bespoke design system (featuring terracotta, sienna, and bark brand colors). Key features include interactive geographic mapping (Mapbox integrations), a comprehensive multi-step structural assessment questionnaire, and a dense, data-rich Dashboard for reviewing computed risk metrics and exporting analytical reports (PDF/Excel).</w:t>
      </w:r>
    </w:p>
    <w:p w14:paraId="405E898F" w14:textId="77777777" w:rsidR="00737C20" w:rsidRDefault="00737C20"/>
    <w:p w14:paraId="05D00B98" w14:textId="77777777" w:rsidR="00737C20" w:rsidRDefault="00000000">
      <w:pPr>
        <w:pStyle w:val="Heading1"/>
      </w:pPr>
      <w:r>
        <w:t>3. Backend Architecture (Supabase &amp; Google Cloud)</w:t>
      </w:r>
    </w:p>
    <w:p w14:paraId="19597520" w14:textId="77777777" w:rsidR="00737C20" w:rsidRDefault="00000000">
      <w:r>
        <w:t>Supabase serves as the primary backend-as-a-service, handling PostgreSQL database management and secure JWT-based user authentication. The database schema strictly isolates building metadata, hazard indicators, vulnerability indicators, and exposure values into distinct relational tables. This isolation allows for granular queries and ensures data integrity. Furthermore, the application integrates with Google Vertex AI to provide Forensic AI Summaries. Vertex AI analyzes the raw questionnaire data and returns human-readable natural language insights and recommended courses of action, contextualizing the cold statistical data for end-users.</w:t>
      </w:r>
    </w:p>
    <w:p w14:paraId="17EF1B3A" w14:textId="77777777" w:rsidR="00737C20" w:rsidRDefault="00737C20"/>
    <w:p w14:paraId="4AF4484D" w14:textId="77777777" w:rsidR="00737C20" w:rsidRDefault="00000000">
      <w:pPr>
        <w:pStyle w:val="Heading1"/>
      </w:pPr>
      <w:r>
        <w:t>4. The Machine Learning Engine (Dual-Engine XGBoost)</w:t>
      </w:r>
    </w:p>
    <w:p w14:paraId="18868FB6" w14:textId="77777777" w:rsidR="00737C20" w:rsidRDefault="00000000">
      <w:r>
        <w:t xml:space="preserve">The core statistical inference is handled by a dedicated Python FastAPI service running in a Dockerized environment. The system employs a </w:t>
      </w:r>
      <w:r>
        <w:rPr>
          <w:b/>
          <w:bCs/>
        </w:rPr>
        <w:t>Dual-Engine Machine Learning approach</w:t>
      </w:r>
      <w:r>
        <w:t xml:space="preserve"> utilizing XGBoost (eXtreme Gradient Boosting).</w:t>
      </w:r>
    </w:p>
    <w:p w14:paraId="7D43F582" w14:textId="77777777" w:rsidR="00737C20" w:rsidRDefault="00737C20"/>
    <w:p w14:paraId="332E6580" w14:textId="77777777" w:rsidR="00737C20" w:rsidRDefault="00000000">
      <w:pPr>
        <w:pStyle w:val="Heading2"/>
      </w:pPr>
      <w:r>
        <w:t>Why Two Models?</w:t>
      </w:r>
    </w:p>
    <w:p w14:paraId="15F8C149" w14:textId="77777777" w:rsidR="00737C20" w:rsidRDefault="00000000">
      <w:r>
        <w:t>The project requires two distinct types of output from the same input features: a highly precise continuous Risk Index (a number from 0 to 10) and a categorical Risk Level (Low, Moderate, High). Attempting to derive the category purely from the continuous index can result in edge-case boundary errors (e.g., a score of 4.49 vs 4.51). To solve this, the architecture runs two models in parallel:</w:t>
      </w:r>
    </w:p>
    <w:p w14:paraId="031BC293" w14:textId="77777777" w:rsidR="00737C20" w:rsidRDefault="00000000">
      <w:r>
        <w:rPr>
          <w:b/>
          <w:bCs/>
        </w:rPr>
        <w:t xml:space="preserve"> 1. Index Regressor (XGBRegressor): </w:t>
      </w:r>
      <w:r>
        <w:t>Trained to predict the exact continuous risk index with microscopic precision.</w:t>
      </w:r>
    </w:p>
    <w:p w14:paraId="5B042597" w14:textId="77777777" w:rsidR="00737C20" w:rsidRDefault="00000000">
      <w:r>
        <w:rPr>
          <w:b/>
          <w:bCs/>
        </w:rPr>
        <w:t xml:space="preserve">2. Category Classifier (XGBClassifier): </w:t>
      </w:r>
      <w:r>
        <w:t>Trained directly on the human-readable categories to provide absolute certainty on the final structural classification.</w:t>
      </w:r>
    </w:p>
    <w:p w14:paraId="492307CB" w14:textId="77777777" w:rsidR="00737C20" w:rsidRDefault="00737C20"/>
    <w:p w14:paraId="5FEEE3D7" w14:textId="77777777" w:rsidR="00737C20" w:rsidRDefault="00000000">
      <w:pPr>
        <w:pStyle w:val="Heading2"/>
      </w:pPr>
      <w:r>
        <w:t>Why XGBoost?</w:t>
      </w:r>
    </w:p>
    <w:p w14:paraId="6AA79AED" w14:textId="77777777" w:rsidR="00737C20" w:rsidRDefault="00000000">
      <w:r>
        <w:t>XGBoost was selected over traditional Linear Regression and Random Forest models due to its superior capability to model complex, non-linear interactions between structural variables. Based on empirical testing detailed in the model metrics (model_metrics_summary.csv):</w:t>
      </w:r>
    </w:p>
    <w:p w14:paraId="3AEF5E8C" w14:textId="77777777" w:rsidR="00737C20" w:rsidRDefault="00000000">
      <w:r>
        <w:t xml:space="preserve"> • Linear Regression R2 Score: 0.9703 • Random Forest R2 Score: 0.9863</w:t>
      </w:r>
      <w:r>
        <w:rPr>
          <w:b/>
          <w:bCs/>
        </w:rPr>
        <w:t xml:space="preserve"> • XGBoost R2 Score: 0.9967 • XGBoost Classification Accuracy: 96.49% </w:t>
      </w:r>
    </w:p>
    <w:p w14:paraId="0C0B02A5" w14:textId="77777777" w:rsidR="00737C20" w:rsidRDefault="00000000">
      <w:r>
        <w:t>As demonstrated, XGBoost achieved an R2 score of nearly 0.997, meaning it perfectly encapsulates the complex multidimensional risk formula, vastly outperforming the linear constraints of baseline regression.</w:t>
      </w:r>
    </w:p>
    <w:p w14:paraId="1D7128FE" w14:textId="77777777" w:rsidR="00737C20" w:rsidRDefault="00737C20"/>
    <w:p w14:paraId="193E62D4" w14:textId="77777777" w:rsidR="00737C20" w:rsidRDefault="00000000">
      <w:pPr>
        <w:pStyle w:val="Heading1"/>
      </w:pPr>
      <w:r>
        <w:t>Why Two AIs (Google Vertex AI vs XGBoost)?</w:t>
      </w:r>
    </w:p>
    <w:p w14:paraId="09622E98" w14:textId="19CA1491" w:rsidR="00737C20" w:rsidRDefault="00000000">
      <w:r>
        <w:t xml:space="preserve">The application fundamentally separates Statistical Intelligence from Generative Intelligence. </w:t>
      </w:r>
      <w:r>
        <w:rPr>
          <w:b/>
          <w:bCs/>
        </w:rPr>
        <w:t xml:space="preserve"> 1. The XGBoost ML Model </w:t>
      </w:r>
      <w:r>
        <w:t xml:space="preserve">is the Statistical Brain. It is deterministic, mathematically rigorous, and trained on 150,000 synthetic </w:t>
      </w:r>
      <w:r>
        <w:lastRenderedPageBreak/>
        <w:t>structural profiles to instantly calculate exact hazard and vulnerability thresholds. It handles the math.</w:t>
      </w:r>
      <w:r>
        <w:rPr>
          <w:b/>
          <w:bCs/>
        </w:rPr>
        <w:t xml:space="preserve"> 2. Google Vertex AI (Gemini) </w:t>
      </w:r>
      <w:r>
        <w:t>is the Generative Brain. It is non-deterministic and handles natural language. It cannot be trusted to do exact floating-point structural math, but it excels at reading the output of the XGBoost model and generating a conversational summary (e.g., The building is at high risk due to unreinforced masonry and high liquefaction potential).   By using two distinct AI paradigms, HAVEN-RVS guarantees scientific rigor (XGBoost) while remaining highly accessible and actionable for human policymakers (Vertex AI).</w:t>
      </w:r>
      <w:r w:rsidR="001060DC">
        <w:rPr>
          <w:noProof/>
        </w:rPr>
        <w:drawing>
          <wp:inline distT="0" distB="0" distL="0" distR="0" wp14:anchorId="7BBD9DAF" wp14:editId="1E54A8AF">
            <wp:extent cx="5730240" cy="4297680"/>
            <wp:effectExtent l="0" t="0" r="3810" b="7620"/>
            <wp:docPr id="325851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r w:rsidR="001060DC">
        <w:rPr>
          <w:noProof/>
        </w:rPr>
        <w:drawing>
          <wp:inline distT="0" distB="0" distL="0" distR="0" wp14:anchorId="109FB706" wp14:editId="7883BF30">
            <wp:extent cx="5730240" cy="1592580"/>
            <wp:effectExtent l="0" t="0" r="3810" b="7620"/>
            <wp:docPr id="14805664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1592580"/>
                    </a:xfrm>
                    <a:prstGeom prst="rect">
                      <a:avLst/>
                    </a:prstGeom>
                    <a:noFill/>
                    <a:ln>
                      <a:noFill/>
                    </a:ln>
                  </pic:spPr>
                </pic:pic>
              </a:graphicData>
            </a:graphic>
          </wp:inline>
        </w:drawing>
      </w:r>
    </w:p>
    <w:sectPr w:rsidR="00737C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B7338"/>
    <w:multiLevelType w:val="hybridMultilevel"/>
    <w:tmpl w:val="5DD4E296"/>
    <w:lvl w:ilvl="0" w:tplc="30489BE0">
      <w:start w:val="1"/>
      <w:numFmt w:val="bullet"/>
      <w:lvlText w:val="●"/>
      <w:lvlJc w:val="left"/>
      <w:pPr>
        <w:ind w:left="720" w:hanging="360"/>
      </w:pPr>
    </w:lvl>
    <w:lvl w:ilvl="1" w:tplc="55E837C0">
      <w:start w:val="1"/>
      <w:numFmt w:val="bullet"/>
      <w:lvlText w:val="○"/>
      <w:lvlJc w:val="left"/>
      <w:pPr>
        <w:ind w:left="1440" w:hanging="360"/>
      </w:pPr>
    </w:lvl>
    <w:lvl w:ilvl="2" w:tplc="47B6622A">
      <w:start w:val="1"/>
      <w:numFmt w:val="bullet"/>
      <w:lvlText w:val="■"/>
      <w:lvlJc w:val="left"/>
      <w:pPr>
        <w:ind w:left="2160" w:hanging="360"/>
      </w:pPr>
    </w:lvl>
    <w:lvl w:ilvl="3" w:tplc="47DE64B8">
      <w:start w:val="1"/>
      <w:numFmt w:val="bullet"/>
      <w:lvlText w:val="●"/>
      <w:lvlJc w:val="left"/>
      <w:pPr>
        <w:ind w:left="2880" w:hanging="360"/>
      </w:pPr>
    </w:lvl>
    <w:lvl w:ilvl="4" w:tplc="805A81E6">
      <w:start w:val="1"/>
      <w:numFmt w:val="bullet"/>
      <w:lvlText w:val="○"/>
      <w:lvlJc w:val="left"/>
      <w:pPr>
        <w:ind w:left="3600" w:hanging="360"/>
      </w:pPr>
    </w:lvl>
    <w:lvl w:ilvl="5" w:tplc="F5963836">
      <w:start w:val="1"/>
      <w:numFmt w:val="bullet"/>
      <w:lvlText w:val="■"/>
      <w:lvlJc w:val="left"/>
      <w:pPr>
        <w:ind w:left="4320" w:hanging="360"/>
      </w:pPr>
    </w:lvl>
    <w:lvl w:ilvl="6" w:tplc="E0247B90">
      <w:start w:val="1"/>
      <w:numFmt w:val="bullet"/>
      <w:lvlText w:val="●"/>
      <w:lvlJc w:val="left"/>
      <w:pPr>
        <w:ind w:left="5040" w:hanging="360"/>
      </w:pPr>
    </w:lvl>
    <w:lvl w:ilvl="7" w:tplc="D7E87B8A">
      <w:start w:val="1"/>
      <w:numFmt w:val="bullet"/>
      <w:lvlText w:val="●"/>
      <w:lvlJc w:val="left"/>
      <w:pPr>
        <w:ind w:left="5760" w:hanging="360"/>
      </w:pPr>
    </w:lvl>
    <w:lvl w:ilvl="8" w:tplc="FEBC2B3A">
      <w:start w:val="1"/>
      <w:numFmt w:val="bullet"/>
      <w:lvlText w:val="●"/>
      <w:lvlJc w:val="left"/>
      <w:pPr>
        <w:ind w:left="6480" w:hanging="360"/>
      </w:pPr>
    </w:lvl>
  </w:abstractNum>
  <w:num w:numId="1" w16cid:durableId="1989743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C20"/>
    <w:rsid w:val="001060DC"/>
    <w:rsid w:val="003853AF"/>
    <w:rsid w:val="00737C20"/>
    <w:rsid w:val="00907A96"/>
  </w:rsids>
  <m:mathPr>
    <m:mathFont m:val="Cambria Math"/>
    <m:brkBin m:val="before"/>
    <m:brkBinSub m:val="--"/>
    <m:smallFrac m:val="0"/>
    <m:dispDef/>
    <m:lMargin m:val="0"/>
    <m:rMargin m:val="0"/>
    <m:defJc m:val="centerGroup"/>
    <m:wrapIndent m:val="1440"/>
    <m:intLim m:val="subSup"/>
    <m:naryLim m:val="undOvr"/>
  </m:mathPr>
  <w:themeFontLang w:val="en-DK"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194F0"/>
  <w15:docId w15:val="{F471E4DF-16F7-49DA-AEA6-937B3A42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DK"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Raphel Amang</cp:lastModifiedBy>
  <cp:revision>3</cp:revision>
  <dcterms:created xsi:type="dcterms:W3CDTF">2026-03-15T01:57:00Z</dcterms:created>
  <dcterms:modified xsi:type="dcterms:W3CDTF">2026-03-15T02:04:00Z</dcterms:modified>
</cp:coreProperties>
</file>