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Инструкция по подготовке инвойса и спецификации.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оплаты покупателем товара из-за рубежа формируется документ Инвойс, который является аналогом обычного счёта-фактуры с той лишь разницей, что этот документ международного образца. 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02122"/>
          <w:sz w:val="24"/>
          <w:szCs w:val="24"/>
          <w:highlight w:val="white"/>
          <w:rtl w:val="0"/>
        </w:rPr>
        <w:t xml:space="preserve">Инвойс</w:t>
      </w:r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 (</w:t>
      </w:r>
      <w:hyperlink r:id="rId6">
        <w:r w:rsidDel="00000000" w:rsidR="00000000" w:rsidRPr="00000000">
          <w:rPr>
            <w:rFonts w:ascii="Cambria" w:cs="Cambria" w:eastAsia="Cambria" w:hAnsi="Cambria"/>
            <w:i w:val="1"/>
            <w:color w:val="202122"/>
            <w:sz w:val="24"/>
            <w:szCs w:val="24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 invoice) — в </w:t>
      </w:r>
      <w:hyperlink r:id="rId7">
        <w:r w:rsidDel="00000000" w:rsidR="00000000" w:rsidRPr="00000000">
          <w:rPr>
            <w:rFonts w:ascii="Cambria" w:cs="Cambria" w:eastAsia="Cambria" w:hAnsi="Cambria"/>
            <w:i w:val="1"/>
            <w:color w:val="202122"/>
            <w:sz w:val="24"/>
            <w:szCs w:val="24"/>
            <w:highlight w:val="white"/>
            <w:rtl w:val="0"/>
          </w:rPr>
          <w:t xml:space="preserve">международной коммерческой практике</w:t>
        </w:r>
      </w:hyperlink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 документ, предоставляемый продавцом покупателю и содержащий перечень товаров и услуг, их количество и цену, по которой они поставлены покупателю, формальные особенности </w:t>
      </w:r>
      <w:hyperlink r:id="rId8">
        <w:r w:rsidDel="00000000" w:rsidR="00000000" w:rsidRPr="00000000">
          <w:rPr>
            <w:rFonts w:ascii="Cambria" w:cs="Cambria" w:eastAsia="Cambria" w:hAnsi="Cambria"/>
            <w:i w:val="1"/>
            <w:color w:val="202122"/>
            <w:sz w:val="24"/>
            <w:szCs w:val="24"/>
            <w:highlight w:val="white"/>
            <w:rtl w:val="0"/>
          </w:rPr>
          <w:t xml:space="preserve">товара</w:t>
        </w:r>
      </w:hyperlink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, обработку и условия поставки, налоговые сборы и сведения об отправителе и получателе.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Данный документ формируется вручную менеджером ВЭД и должен содержать следующую информацию: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Номер и дата инвойса.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Реквизиты и наименование Поставщика (англ.язык).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Реквизиты и наименование Покупателя (англ.язык).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Номер и дата контракта между Поставщиком и Покупателем.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Порядок расчётов (предоплата/оплата с отсрочкой и др.).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Таблица с наименованием товара (описание номенклатуры ПОЛНОЕ, кол-во шт в партии, цена одной шт. в валюте согласно договора, сумма в валюте согласно договора).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Дополнительные условия (всего кол-во видов наименований на сумму, сумма инвойса прописью, страна происхождения, код согласно УКТ ВЭД, вид упаковки и условия поставки).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Подпись директора и печать предприятия.</w:t>
      </w:r>
    </w:p>
    <w:p w:rsidR="00000000" w:rsidDel="00000000" w:rsidP="00000000" w:rsidRDefault="00000000" w:rsidRPr="00000000" w14:paraId="00000010">
      <w:pPr>
        <w:ind w:left="0" w:firstLine="0"/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После формирования инвойса скан копия отправляется Покупателю. Оригинал передаётся логисту для отправки с остальным пакетом документов во время отгрузки продукции. 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Пример инвойса приведён ниже.</w:t>
      </w:r>
    </w:p>
    <w:p w:rsidR="00000000" w:rsidDel="00000000" w:rsidP="00000000" w:rsidRDefault="00000000" w:rsidRPr="00000000" w14:paraId="00000012">
      <w:pPr>
        <w:ind w:left="0" w:firstLine="0"/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795963" cy="829401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829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При продаже продукции к инвойсу прилагается документ Спецификация. Данный документ формирует менеджер ВЭД.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202122"/>
          <w:sz w:val="24"/>
          <w:szCs w:val="24"/>
          <w:highlight w:val="white"/>
          <w:rtl w:val="0"/>
        </w:rPr>
        <w:t xml:space="preserve">Специфика́ция</w:t>
      </w:r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 — (от </w:t>
      </w:r>
      <w:hyperlink r:id="rId10">
        <w:r w:rsidDel="00000000" w:rsidR="00000000" w:rsidRPr="00000000">
          <w:rPr>
            <w:rFonts w:ascii="Cambria" w:cs="Cambria" w:eastAsia="Cambria" w:hAnsi="Cambria"/>
            <w:i w:val="1"/>
            <w:color w:val="202122"/>
            <w:sz w:val="24"/>
            <w:szCs w:val="24"/>
            <w:highlight w:val="white"/>
            <w:rtl w:val="0"/>
          </w:rPr>
          <w:t xml:space="preserve">позднелат.</w:t>
        </w:r>
      </w:hyperlink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 specificatio, от </w:t>
      </w:r>
      <w:hyperlink r:id="rId11">
        <w:r w:rsidDel="00000000" w:rsidR="00000000" w:rsidRPr="00000000">
          <w:rPr>
            <w:rFonts w:ascii="Cambria" w:cs="Cambria" w:eastAsia="Cambria" w:hAnsi="Cambria"/>
            <w:i w:val="1"/>
            <w:color w:val="202122"/>
            <w:sz w:val="24"/>
            <w:szCs w:val="24"/>
            <w:highlight w:val="white"/>
            <w:rtl w:val="0"/>
          </w:rPr>
          <w:t xml:space="preserve">лат.</w:t>
        </w:r>
      </w:hyperlink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 species — вид, разновидность и </w:t>
      </w:r>
      <w:hyperlink r:id="rId12">
        <w:r w:rsidDel="00000000" w:rsidR="00000000" w:rsidRPr="00000000">
          <w:rPr>
            <w:rFonts w:ascii="Cambria" w:cs="Cambria" w:eastAsia="Cambria" w:hAnsi="Cambria"/>
            <w:i w:val="1"/>
            <w:color w:val="202122"/>
            <w:sz w:val="24"/>
            <w:szCs w:val="24"/>
            <w:highlight w:val="white"/>
            <w:rtl w:val="0"/>
          </w:rPr>
          <w:t xml:space="preserve">лат.</w:t>
        </w:r>
      </w:hyperlink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 facio — делаю</w:t>
      </w:r>
      <w:hyperlink r:id="rId13">
        <w:r w:rsidDel="00000000" w:rsidR="00000000" w:rsidRPr="00000000">
          <w:rPr>
            <w:rFonts w:ascii="Cambria" w:cs="Cambria" w:eastAsia="Cambria" w:hAnsi="Cambria"/>
            <w:i w:val="1"/>
            <w:color w:val="202122"/>
            <w:sz w:val="24"/>
            <w:szCs w:val="24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) — документ, устанавливающий требования.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Спецификация должна содержать следующую информацию: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Номер и дата спецификации.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Номер и дата контракта между Поставщиком и Покупателем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Таблица с наименованием товара (описание номенклатуры ПОЛНОЕ, кол-во шт в партии, цена одной шт. в валюте согласно договора, сумма в валюте согласно договора).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Особые условия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условия поставки (самовывоз, доставка и др. согласно терминам Инкотермс-2010)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Код согласно УКТ ВЭД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Вид упаковки (пачки или поддоны с указанием количества)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Страна происхождения продукции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Порядок расчётов (предоплата/оплата с отсрочкой и др.)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Реквизиты и наименование Поставщика и Покупателя.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Подпись и печать обеих сторон.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После формирования спецификации скан копия отправляется Покупателю. От Покупателя необходимо получить обратно скан копию с его подписью и печатью. Оригинал передаётся логисту для отправки с остальным пакетом документов во время отгрузки продукции. 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  <w:rtl w:val="0"/>
        </w:rPr>
        <w:t xml:space="preserve">Спецификация является документом котором Покупатель подтверждает намерения покупки продукции по указанным характеристикам и является документом для решения споров между сторонами, в связи с этим обязательно наличие подписи и печати Покупателя. </w:t>
      </w:r>
    </w:p>
    <w:p w:rsidR="00000000" w:rsidDel="00000000" w:rsidP="00000000" w:rsidRDefault="00000000" w:rsidRPr="00000000" w14:paraId="00000026">
      <w:pPr>
        <w:ind w:left="0" w:firstLine="0"/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202122"/>
          <w:sz w:val="24"/>
          <w:szCs w:val="24"/>
          <w:highlight w:val="white"/>
          <w:rtl w:val="0"/>
        </w:rPr>
        <w:t xml:space="preserve">Пример спецификации приведён ниже.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731200" cy="8191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B%D0%B0%D1%82%D0%B8%D0%BD%D1%81%D0%BA%D0%B8%D0%B9_%D1%8F%D0%B7%D1%8B%D0%BA" TargetMode="External"/><Relationship Id="rId10" Type="http://schemas.openxmlformats.org/officeDocument/2006/relationships/hyperlink" Target="https://ru.wikipedia.org/wiki/%D0%9B%D0%B0%D1%82%D0%B8%D0%BD%D1%81%D0%BA%D0%B8%D0%B9_%D1%8F%D0%B7%D1%8B%D0%BA#%D0%9F%D0%BE%D0%B7%D0%B4%D0%BD%D1%8F%D1%8F_%D0%BB%D0%B0%D1%82%D1%8B%D0%BD%D1%8C" TargetMode="External"/><Relationship Id="rId13" Type="http://schemas.openxmlformats.org/officeDocument/2006/relationships/hyperlink" Target="https://ru.wikipedia.org/wiki/%D0%A1%D0%BF%D0%B5%D1%86%D0%B8%D1%84%D0%B8%D0%BA%D0%B0%D1%86%D0%B8%D1%8F#cite_note-1" TargetMode="External"/><Relationship Id="rId12" Type="http://schemas.openxmlformats.org/officeDocument/2006/relationships/hyperlink" Target="https://ru.wikipedia.org/wiki/%D0%9B%D0%B0%D1%82%D0%B8%D0%BD%D1%81%D0%BA%D0%B8%D0%B9_%D1%8F%D0%B7%D1%8B%D0%B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9C%D0%B5%D0%B6%D0%B4%D1%83%D0%BD%D0%B0%D1%80%D0%BE%D0%B4%D0%BD%D1%8B%D0%B5_%D1%8D%D0%BA%D0%BE%D0%BD%D0%BE%D0%BC%D0%B8%D1%87%D0%B5%D1%81%D0%BA%D0%B8%D0%B5_%D0%BE%D1%82%D0%BD%D0%BE%D1%88%D0%B5%D0%BD%D0%B8%D1%8F" TargetMode="External"/><Relationship Id="rId8" Type="http://schemas.openxmlformats.org/officeDocument/2006/relationships/hyperlink" Target="https://ru.wikipedia.org/wiki/%D0%A2%D0%BE%D0%B2%D0%B0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