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tabs>
          <w:tab w:val="left" w:leader="none" w:pos="284"/>
        </w:tabs>
        <w:spacing w:after="200" w:line="276" w:lineRule="auto"/>
        <w:ind w:left="220" w:right="3620" w:firstLine="0"/>
        <w:rPr>
          <w:rFonts w:ascii="Cambria" w:cs="Cambria" w:eastAsia="Cambria" w:hAnsi="Cambria"/>
          <w:sz w:val="34"/>
          <w:szCs w:val="34"/>
          <w:u w:val="single"/>
        </w:rPr>
      </w:pPr>
      <w:bookmarkStart w:colFirst="0" w:colLast="0" w:name="_ge027cmcmrt1" w:id="0"/>
      <w:bookmarkEnd w:id="0"/>
      <w:r w:rsidDel="00000000" w:rsidR="00000000" w:rsidRPr="00000000">
        <w:rPr>
          <w:rFonts w:ascii="Cambria" w:cs="Cambria" w:eastAsia="Cambria" w:hAnsi="Cambria"/>
          <w:sz w:val="34"/>
          <w:szCs w:val="34"/>
          <w:u w:val="single"/>
          <w:rtl w:val="0"/>
        </w:rPr>
        <w:t xml:space="preserve">Инструкция по проведеннию перемещения материалов между складами в программе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tabs>
          <w:tab w:val="left" w:leader="none" w:pos="284"/>
        </w:tabs>
        <w:spacing w:after="200" w:line="276" w:lineRule="auto"/>
        <w:ind w:left="220" w:right="3620" w:firstLine="0"/>
        <w:rPr>
          <w:rFonts w:ascii="Cambria" w:cs="Cambria" w:eastAsia="Cambria" w:hAnsi="Cambria"/>
        </w:rPr>
      </w:pPr>
      <w:bookmarkStart w:colFirst="0" w:colLast="0" w:name="_uom94l4s08zh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1С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 в базе 1С  во вкладку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“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Производство”  выбираем перемещение запасов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257800" cy="2733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копируем предыдущее перемещение исправляем данные которые нам нужны (Склад с которого перемещаем ,склад на который перемещаем ),вносим нужную номенклатуру и проводим перемещение.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240" w:before="240" w:line="276" w:lineRule="auto"/>
        <w:rPr/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