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00000a"/>
          <w:sz w:val="20"/>
          <w:szCs w:val="20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587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36"/>
          <w:szCs w:val="36"/>
          <w:rtl w:val="0"/>
        </w:rPr>
        <w:t xml:space="preserve">Приказ об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587"/>
        <w:jc w:val="center"/>
        <w:rPr>
          <w:rFonts w:ascii="Cambria" w:cs="Cambria" w:eastAsia="Cambria" w:hAnsi="Cambria"/>
          <w:b w:val="1"/>
          <w:color w:val="00000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36"/>
          <w:szCs w:val="36"/>
          <w:rtl w:val="0"/>
        </w:rPr>
        <w:t xml:space="preserve">ОТЧИСЛЕНИИ ДЕНЕГ </w:t>
      </w:r>
    </w:p>
    <w:p w:rsidR="00000000" w:rsidDel="00000000" w:rsidP="00000000" w:rsidRDefault="00000000" w:rsidRPr="00000000" w14:paraId="00000006">
      <w:pPr>
        <w:ind w:hanging="587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36"/>
          <w:szCs w:val="36"/>
          <w:rtl w:val="0"/>
        </w:rPr>
        <w:t xml:space="preserve">В ФОНДЫ РАЗВИТИЯ И БЛАГОТВОРИТЕЛЬНОСТИ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hanging="587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hanging="587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 xml:space="preserve">      </w:t>
        <w:tab/>
        <w:t xml:space="preserve">                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  От 24.10.2022</w:t>
      </w:r>
    </w:p>
    <w:p w:rsidR="00000000" w:rsidDel="00000000" w:rsidP="00000000" w:rsidRDefault="00000000" w:rsidRPr="00000000" w14:paraId="00000009">
      <w:pPr>
        <w:ind w:hanging="587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hanging="587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  </w:t>
        <w:tab/>
        <w:tab/>
        <w:tab/>
        <w:t xml:space="preserve">          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папки сотрудников УК: ГД, РСФ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папки сотрудников Беги: ИД, все РО Биг-бегов.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СИТУАЦИЯ: Руководители перестали отчислять деньги в некоторые фонды на постоянной основе и начинают манипулировать правилами работы при необходимости сделать траты, которые подразумевает как раз траты из фонда.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ДАННЫЕ: так как компания работает и развивается ей необходимы деньги на развитие. А учитывая тот факт, что на сегодняшний день ситуация на рынке меняется постоянно, то необходимость откладывать деньги на развитие возрастает многократно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Пример: вдруг непрогнозируемо настала острая необходимость купить генератор для того чтобы не остаться без света и производственные процессы не остановились..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Руководители, понимая, что есть нужные покупки, на которые необходимо выделить деньги, иногда сталкиваются с ситуацией, когда они берут в долг из какого либо фонда, а когда приходит необходимость возврат денег, то нужно их отдавать с маржи. А это значит, что нужно заработать денег в 2 раза больше из-за того, что когда любая сумма попадает в маржу, с нее удерживаются отчисления в фонды. И порой сумма удержания составляет почти 40%. В итоге, чтобы выплатить необходимую сумму из маржи, нужно покрыть отчисления в фонды. Конечно же руководители этого делать не хотят и начинают манипулировать с фондами и с правилами работы (придумывать идеи, как сделать так, чтобы и долг покрыть и не платить отчисления в фонды из суммы, которая необходима к погашению). В итоге их умственная деятельность и энергия направлена не на развитие компании, а на придумывание способов обойти правила компании. Та же ситуация и с благотворительностью. Вместо того чтобы пользоваться фондом, придумываются хитрые способы перевести деньги на благотворительность из маржи так, чтобы на эти деньги не начислялось распределение в фонды.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РЕШЕНИЕ: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Чтобы избежать подобной ситуации, приказываю: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1.11.22 установить на постоянной основе процент отчисления в фонд развития 6%,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 1.11.22 установить на постоянной основе процент отчисления в фонд благотворительность 1%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контроль за исполнением приказа возложить на РО3 Биг-бегов.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Владелец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 ООО “Компания ВБА”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Cambria" w:cs="Cambria" w:eastAsia="Cambria" w:hAnsi="Cambria"/>
          <w:color w:val="00000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Геннадий Мороз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