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 созданию директивы маржи в 1С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    </w:t>
        <w:tab/>
        <w:tab/>
        <w:t xml:space="preserve">                                           От 31.03.23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РО3.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Согласно Регламенту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2015-06-11 Регламент по финансовому планированию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руководители проводят финансовое планирование на Рекомендательном совете, утверждая заявки и распределяя средства. Документом распределения средств на Рексовете является Директива по марже. В нашей компании существует специальный документ 1С, с помощью которого происходит распределение средств и утверждение заявок на приобретение. Рассмотрим, как создавать данную директиву.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чтобы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создать директиву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по марже необходимо: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Создаем новую директиву в 1С. Для этого выбираем пункт меню Финансовой планирование - документ  Директивы финансового планирования. 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060700"/>
            <wp:effectExtent b="0" l="0" r="0" t="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кнопку Создать. По умолчанию создается директива оборотных средств, меняем тип директивы на Распределение маржинальной прибыли, как показано ниже.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32740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Необходимо Обновить данные, для загрузки остатков средств к распределению. Так же необходимо нажать кнопку Заполнить заказы, чтобы все заказы на приобретение были загружены в директиву.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9718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Переходим на вкладку Утверждение заказов. Заказы будут сгруппированы по отделениям, согласно  статьи движения денежных средств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1303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Необходимо следиь чтобы статья движения была правильно выбрана согласно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2015-01-27 ИП Правила проведения расходов в управленческом учете в компании ВБА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Утверждаем заказы на финансовом планировании, проставляя поле Сумма утвержденная. 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625600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Переходим на вкладку Распределение по фондам  и нажимаем кнопку Распределить прибыль по фондам. Заполняем данные в документе согласно ФРС. Выбираем правильную форму средств согласно Исполнительного письма ПРАВИЛО ОТЧИСЛЕНИЙ В УК.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0574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Переходим на вкладку Остатки движения фондов, нажимаем кнопку Обновить. Проверяем все фонды на соответствие ФРС. Проверяем, чтобы не было минуса по фондам после распределения.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9812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случае, когда есть минуса в остатках по фондам, переходим на вкладку Остатки движения фондов, изменяем те фонды, которые были с минусами так, чтобы остаток по фонду был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не отрицательным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866900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Переходим на вкладку Остатки движения фондов, нажимаем кнопку Обновить. Проверяем еще раз остатки.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9685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Проверяем, чтобы остаток денег в ячейке Итого после распределения был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не отрицательным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В случае, когда денег на все заказы не хватает, необходимо убрать или уменьшить часть заказов, используя инвестиционный подход.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2954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внесения всех данных и изменений Нажимаем сохранить и закрыть.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утверждения Директивы по марже необходимо поставить задачу на утверждение в Битрикс по командной линии на Генерального директора.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873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Указываем дату и номер директивы.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проведения директивы необходимо поставить задачу на РСФ для проверки и выделения денег на оплату.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Соблюдая данную инструкцию мы сможем быстро проводить директиву по марже.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6.jpg"/><Relationship Id="rId13" Type="http://schemas.openxmlformats.org/officeDocument/2006/relationships/image" Target="media/image10.jpg"/><Relationship Id="rId12" Type="http://schemas.openxmlformats.org/officeDocument/2006/relationships/hyperlink" Target="https://docs.google.com/document/d/195MJ7RiWrhPTu0PfoLM_SwbL-ojXhVhQ4GUafkLZt8U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4.jpg"/><Relationship Id="rId14" Type="http://schemas.openxmlformats.org/officeDocument/2006/relationships/image" Target="media/image3.jpg"/><Relationship Id="rId17" Type="http://schemas.openxmlformats.org/officeDocument/2006/relationships/image" Target="media/image2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8.png"/><Relationship Id="rId18" Type="http://schemas.openxmlformats.org/officeDocument/2006/relationships/image" Target="media/image5.jpg"/><Relationship Id="rId7" Type="http://schemas.openxmlformats.org/officeDocument/2006/relationships/hyperlink" Target="https://docs.google.com/document/d/1uIp7pAAz-ULms7poyE1j6vJsCsbW8FmJctk7lmzNPiQ/edit#heading=h.gjdgxs" TargetMode="External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