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rtl w:val="0"/>
        </w:rPr>
        <w:t xml:space="preserve">SPÓŁKA Z OGRANICZONĄ ODPOWIEDZIALNOŚCIĄ «Grand Pomol»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color w:val="20212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rtl w:val="0"/>
        </w:rPr>
        <w:t xml:space="preserve">al.Heroiv 33/5  Dniepr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color w:val="20212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rtl w:val="0"/>
        </w:rPr>
        <w:t xml:space="preserve">Adresy do korespondencji: 49023, Dniepr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color w:val="20212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rtl w:val="0"/>
        </w:rPr>
        <w:t xml:space="preserve">Aleja . Manuyliwski, 17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color w:val="20212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rtl w:val="0"/>
        </w:rPr>
        <w:t xml:space="preserve">NIP: 42685784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color w:val="20212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rtl w:val="0"/>
        </w:rPr>
        <w:t xml:space="preserve">Rachunek  UA783209840000026003210408390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color w:val="20212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rtl w:val="0"/>
        </w:rPr>
        <w:t xml:space="preserve">ProCredit Bank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color w:val="20212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rtl w:val="0"/>
        </w:rPr>
        <w:t xml:space="preserve">tel +38 067 47 47 500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color w:val="20212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rtl w:val="0"/>
        </w:rPr>
        <w:t xml:space="preserve">Е-mail: info@vba.com.ua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00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Оfertę handlową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Oferujemy stałe dostawy proszku mineralnego MP-1 własnej produkcji. Nasza firma posiada szerokie możliwości dostaw zarówno wagonami kolejowymi, jak i transportem drogowym, a także dostawy własne, transportem wagonowym i samochodowym. Firma sprzedaje produkty bez opakowań lub w big bagach własnej produkcji.</w:t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Współpracując z nami otrzymacie: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Dział logistyki rozwiąże dla państwa każdy problem związany z dostawą.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Stabilną jakość produktu.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  <w:jc w:val="both"/>
        <w:rPr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Produkt zostanie dostarczony na czas zgodnie z harmonogramem.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Techniczne specyfikacje: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Rule="auto"/>
        <w:ind w:left="720" w:hanging="360"/>
        <w:rPr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Zawartość cząstek, % masowych:</w:t>
      </w:r>
    </w:p>
    <w:p w:rsidR="00000000" w:rsidDel="00000000" w:rsidP="00000000" w:rsidRDefault="00000000" w:rsidRPr="00000000" w14:paraId="0000001B">
      <w:pPr>
        <w:ind w:left="1800" w:hanging="36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mniejszy niż 0,071 mm - 80%</w:t>
      </w:r>
    </w:p>
    <w:p w:rsidR="00000000" w:rsidDel="00000000" w:rsidP="00000000" w:rsidRDefault="00000000" w:rsidRPr="00000000" w14:paraId="0000001C">
      <w:pPr>
        <w:ind w:left="1800" w:hanging="36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mniejszy niż 0,315 mm - 94%</w:t>
      </w:r>
    </w:p>
    <w:p w:rsidR="00000000" w:rsidDel="00000000" w:rsidP="00000000" w:rsidRDefault="00000000" w:rsidRPr="00000000" w14:paraId="0000001D">
      <w:pPr>
        <w:ind w:left="1800" w:hanging="36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mniejsze niż 1,25 mm - 100%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Wilgotność, % masowy - 0,3%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- 5.160,00 UAH z VAT za jedną tonę bez opakowań. Z dostawą samochodami do miasta Kleszczów.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hd w:fill="f8f9fa" w:val="clear"/>
          <w:rtl w:val="0"/>
        </w:rPr>
        <w:t xml:space="preserve">Pozdrawiam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, Jarosław Lahno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color w:val="2021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hd w:fill="f8f9fa" w:val="clear"/>
          <w:rtl w:val="0"/>
        </w:rPr>
        <w:t xml:space="preserve">Szef kierunku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color w:val="2021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Proszku mineralnego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hd w:fill="f8f9fa" w:val="clear"/>
          <w:rtl w:val="0"/>
        </w:rPr>
        <w:t xml:space="preserve">i odtleniania gleby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color w:val="2021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hd w:fill="f8f9fa" w:val="clear"/>
          <w:rtl w:val="0"/>
        </w:rPr>
        <w:t xml:space="preserve">Grupa firm "VBA" +38 067 610 67 78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E-mail: 0676106778@vba.com.ua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