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right="19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</w:rPr>
        <w:drawing>
          <wp:inline distB="0" distT="0" distL="0" distR="0">
            <wp:extent cx="5324475" cy="1000125"/>
            <wp:effectExtent b="0" l="0" r="0" t="0"/>
            <wp:docPr descr="https://lh4.googleusercontent.com/FqnSxUSuQk7y4LchUuM7W9BpIBZmVQw4XPu1i_ntk8gNWwQajNeHPmTxHtmSeDrLWX9Q51SNls9qKbkdy4N2BeJNjQOh5bq96QaOHfwE3XL288nSzXoDsWkkt4fswyOQk8Tww80uQX4" id="1" name="image1.png"/>
            <a:graphic>
              <a:graphicData uri="http://schemas.openxmlformats.org/drawingml/2006/picture">
                <pic:pic>
                  <pic:nvPicPr>
                    <pic:cNvPr descr="https://lh4.googleusercontent.com/FqnSxUSuQk7y4LchUuM7W9BpIBZmVQw4XPu1i_ntk8gNWwQajNeHPmTxHtmSeDrLWX9Q51SNls9qKbkdy4N2BeJNjQOh5bq96QaOHfwE3XL288nSzXoDsWkkt4fswyOQk8Tww80uQX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right="195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right="195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Директива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right="195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Об обязательном предоставлении отчета Н06 по отгрузкам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right="195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right="19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от 21.04.2021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right="195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должностную папку сотрудников направления Известняк: </w:t>
        <w:br w:type="textWrapping"/>
        <w:t xml:space="preserve">Н06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right="195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ПРИКАЗЫВАЮ: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Установить для Н06 следующие правила в отношении предоставления отчета по отгрузкам: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1.Каждый день Н06 обязуется отправлять отчет по отгрузкам в группу в телеграмме по итогу рабочего дня до 16:30.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2.В отчете по отгрузкам отражает такие данные: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-Факт по отгрузкам по накоплению за отчетную неделю с разбивкой по фракциям на текущую дату отчета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-Сколько клиентов на текущий день в работе (с указанием фракции)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3.Если отчет предоставлен несвоевременно, то Н06 будет оштрафован на сумму 500 грн. за каждый несвоевременно отправленный отчет.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Исполнительный директор направления Известняк 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Устинов Сергей</w:t>
        <w:br w:type="textWrapping"/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