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ВХОДЯЩЕЙ ПЕРВИЧНОЙ ДОКУМЕНТАЦИИ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Продукт данной секции –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это собран полный комплект документов, который подтверждает расходы компании. Документы (приходные документы, ТТН, акты выполненных работ), которые выписаны поставщиками, необходимо получить и обработать в течение 14 дней с даты получения товара на склад компании. Товар на склад компании должен приходить с оригиналами первичных документов.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Для получения продукта данной секции, необходимо  выполнить следующие действия: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</w:tabs>
        <w:spacing w:before="240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Получить первичные документы. В 1С:Бухгалтерия -Покупки - Поступление товаров и услуг. Отметить в приходном документе в комментариях  “+” 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</w:rPr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before="240" w:lineRule="auto"/>
        <w:ind w:left="720" w:hanging="360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Каждый Четверг в 1С: Бухгалтерия необходимо сформировать реестр по всем входящим первичным документам с начала работы юр. лица по текущую дату, проконтролировать наличие первичных документов от поставщиков, которые подтверждают расходы компании.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1с Бухгалтерия – «Поступление товаров и услуг» - установить мышку на колонку «Организации» - фильтром поиска отобрать нужную организацию. Печать - реестр документов. Установить Период  - Сформировать.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Каждый Четверг необходимо совершить звонки поставщикам, по которым отсутствуют оригиналы документов, предупредить о блокировке оплаты за товар/услугу из-за отсутствия оригиналов документов и требовать  выслать ниши экземпляры: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84"/>
        </w:tabs>
        <w:spacing w:after="0" w:afterAutospacing="0" w:before="0" w:beforeAutospacing="0" w:line="276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через электронный документооборот (Медок);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284"/>
        </w:tabs>
        <w:spacing w:after="0" w:afterAutospacing="0" w:before="0" w:beforeAutospacing="0" w:line="276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со следующей поставкой товара;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284"/>
        </w:tabs>
        <w:spacing w:before="0" w:beforeAutospacing="0" w:line="276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 фактический адрес нашей компании.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before="240"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 поставщикам, по которым не получены оригиналы приходных документов в течение 14 дней после поставки товара, на 15-й день прекращаются все оплаты за поставленную продукцию/оказанные услуги до получения всех документов, по которым прошло 14 дней с момента поставки. Если это важная оплата, без которой остановится производство, то такая оплата может совершиться только по ЗРС от РО4.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before="240"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Для более быстрого получения продукта по данной секции буду совершать звонки поставщикам, с просьбой перейти на электронный документооборот через Медок.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before="240"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Получив входящие документы, НО8 проверяет правильность отображения в 1С Бухгалтерия, формирует папку входящих документов за месяц и передает в архив.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Получение первичных документов от поставщиков по ЭДО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в Медок выбираем “первинні документи” - Реестр електронних документів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91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Потом выбираем </w:t>
        <w:br w:type="textWrapping"/>
        <w:t xml:space="preserve">- Период , </w:t>
        <w:br w:type="textWrapping"/>
        <w:t xml:space="preserve">- Тип документа, </w:t>
        <w:br w:type="textWrapping"/>
        <w:t xml:space="preserve">- ЕДРПОУ если необходимо к конкретному поставщику </w:t>
        <w:br w:type="textWrapping"/>
        <w:t xml:space="preserve">- Путь - “полученный”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Еще надо утвердить документы от поставщиков, нажимаем правой кнопкой мыши, выбираем “Погодити обрани документи”, после вносим пароль подтверждения документов  </w:t>
      </w:r>
      <w:r w:rsidDel="00000000" w:rsidR="00000000" w:rsidRPr="00000000">
        <w:rPr>
          <w:rFonts w:ascii="Cambria" w:cs="Cambria" w:eastAsia="Cambria" w:hAnsi="Cambria"/>
          <w:b w:val="1"/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highlight w:val="white"/>
        </w:rPr>
        <w:drawing>
          <wp:inline distB="114300" distT="114300" distL="114300" distR="114300">
            <wp:extent cx="4695938" cy="23655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938" cy="2365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После открываем документ и вносим в бух 1С, заполняем дату документа, т.е берем дату и номер ту, которая в Медке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